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75A4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安阳学院</w:t>
      </w:r>
    </w:p>
    <w:p w14:paraId="656A7F5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lang w:eastAsia="zh-CN"/>
        </w:rPr>
        <w:t>202</w:t>
      </w:r>
      <w:r>
        <w:rPr>
          <w:rFonts w:hint="eastAsia" w:ascii="方正小标宋简体" w:hAnsi="仿宋" w:eastAsia="方正小标宋简体"/>
          <w:sz w:val="44"/>
          <w:szCs w:val="44"/>
          <w:highlight w:val="none"/>
          <w:lang w:val="en-US" w:eastAsia="zh-CN"/>
        </w:rPr>
        <w:t>3</w:t>
      </w:r>
      <w:r>
        <w:rPr>
          <w:rFonts w:hint="eastAsia" w:ascii="方正小标宋简体" w:hAnsi="仿宋" w:eastAsia="方正小标宋简体"/>
          <w:sz w:val="44"/>
          <w:szCs w:val="44"/>
          <w:highlight w:val="none"/>
          <w:lang w:eastAsia="zh-CN"/>
        </w:rPr>
        <w:t>—202</w:t>
      </w:r>
      <w:r>
        <w:rPr>
          <w:rFonts w:hint="eastAsia" w:ascii="方正小标宋简体" w:hAnsi="仿宋" w:eastAsia="方正小标宋简体"/>
          <w:sz w:val="44"/>
          <w:szCs w:val="44"/>
          <w:highlight w:val="none"/>
          <w:lang w:val="en-US" w:eastAsia="zh-CN"/>
        </w:rPr>
        <w:t>4</w:t>
      </w:r>
      <w:r>
        <w:rPr>
          <w:rFonts w:hint="eastAsia" w:ascii="方正小标宋简体" w:hAnsi="仿宋" w:eastAsia="方正小标宋简体"/>
          <w:sz w:val="44"/>
          <w:szCs w:val="44"/>
          <w:highlight w:val="none"/>
          <w:lang w:eastAsia="zh-CN"/>
        </w:rPr>
        <w:t>学年</w:t>
      </w:r>
      <w:r>
        <w:rPr>
          <w:rFonts w:hint="eastAsia" w:ascii="方正小标宋简体" w:hAnsi="仿宋" w:eastAsia="方正小标宋简体"/>
          <w:sz w:val="44"/>
          <w:szCs w:val="44"/>
          <w:highlight w:val="none"/>
        </w:rPr>
        <w:t>信息公开</w:t>
      </w:r>
      <w:r>
        <w:rPr>
          <w:rFonts w:hint="eastAsia" w:ascii="方正小标宋简体" w:hAnsi="仿宋" w:eastAsia="方正小标宋简体"/>
          <w:sz w:val="44"/>
          <w:szCs w:val="44"/>
          <w:highlight w:val="none"/>
          <w:lang w:eastAsia="zh-CN"/>
        </w:rPr>
        <w:t>年度</w:t>
      </w:r>
      <w:r>
        <w:rPr>
          <w:rFonts w:hint="eastAsia" w:ascii="方正小标宋简体" w:hAnsi="仿宋" w:eastAsia="方正小标宋简体"/>
          <w:sz w:val="44"/>
          <w:szCs w:val="44"/>
          <w:highlight w:val="none"/>
        </w:rPr>
        <w:t>工作报告</w:t>
      </w:r>
    </w:p>
    <w:p w14:paraId="18504F90">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32"/>
          <w:szCs w:val="32"/>
          <w:highlight w:val="none"/>
          <w:lang w:eastAsia="zh-CN"/>
        </w:rPr>
      </w:pPr>
    </w:p>
    <w:p w14:paraId="240741F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学年工作报告是根据《中华人民共和国政府信息公开条例》《高等学校信息公开办法》（中华人民共和国教育部令第29号）《教育部关于公布&lt;高等学校信息公开事项清单&gt;的通知》（教办函〔2014〕23号）《河南省教育厅办公室关于做好2024年高校信息公开年度报告工作的通知》（教办函〔2024〕697号）《安阳学院信息公开实施细则（试行）》等文件要求，由信息公开办公室综合学校各单位2023—2024学年信息公开年度工作报告编制而成。全文包括概述、主动公开情况、依申请公开和不予公开情况、对信息公开的评议情况、因学校信息公开工作受到举报、复议、诉讼的情况、主要经验、问题和改进措施和其他需要报告事项等部分组成。本学年工作报告中所列数据的统计起止时间为2023年9月1日至2024年8月31日。</w:t>
      </w:r>
    </w:p>
    <w:p w14:paraId="1509AF6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本报告的电子版可以从安阳学院门户网站“信息公开”专栏（http://www.ayxy.edu.cn/xxgkw）下载。如对本报告有任何疑问，请联系安阳学院信息公开办公室（电话:0372--2171006；邮箱：</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"mailto:anyangxy@126.com）。" </w:instrText>
      </w:r>
      <w:r>
        <w:rPr>
          <w:rFonts w:hint="eastAsia" w:ascii="仿宋_GB2312" w:hAnsi="仿宋_GB2312" w:eastAsia="仿宋_GB2312" w:cs="仿宋_GB2312"/>
          <w:color w:val="auto"/>
          <w:sz w:val="32"/>
          <w:szCs w:val="32"/>
          <w:highlight w:val="none"/>
          <w:lang w:val="en-US" w:eastAsia="zh-CN"/>
        </w:rPr>
        <w:fldChar w:fldCharType="separate"/>
      </w:r>
      <w:r>
        <w:rPr>
          <w:rStyle w:val="9"/>
          <w:rFonts w:hint="eastAsia" w:ascii="仿宋_GB2312" w:hAnsi="仿宋_GB2312" w:eastAsia="仿宋_GB2312" w:cs="仿宋_GB2312"/>
          <w:color w:val="auto"/>
          <w:sz w:val="32"/>
          <w:szCs w:val="32"/>
          <w:highlight w:val="none"/>
          <w:lang w:val="en-US" w:eastAsia="zh-CN"/>
        </w:rPr>
        <w:t>anyangxy@126.com）。</w:t>
      </w:r>
      <w:r>
        <w:rPr>
          <w:rFonts w:hint="eastAsia" w:ascii="仿宋_GB2312" w:hAnsi="仿宋_GB2312" w:eastAsia="仿宋_GB2312" w:cs="仿宋_GB2312"/>
          <w:color w:val="auto"/>
          <w:sz w:val="32"/>
          <w:szCs w:val="32"/>
          <w:highlight w:val="none"/>
          <w:lang w:val="en-US" w:eastAsia="zh-CN"/>
        </w:rPr>
        <w:fldChar w:fldCharType="end"/>
      </w:r>
    </w:p>
    <w:p w14:paraId="288A02C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一、工作概述</w:t>
      </w:r>
    </w:p>
    <w:p w14:paraId="12713CC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2024学年，学校以习近平新时代中国特色社会主义思想为指导，深入贯彻落实党的二十大和二十届二中、三中全会精神，落实全国教育大会、全省教育大会部署，按照“五位一体”总体布局和“四个全面”战略布局，增强“四个意识”、坚定“四个自信”、做到“两个维护”，加强党对教育工作的全面领导，全面贯彻党的教育方针，落实立德树人根本任务，坚持稳中求进工作总基调，立足新发展阶段，贯彻新发展理念，构建新发展格局，以推动高质量发展为主题，以改革创新为根本动力，走内涵发展、创新发展、特色发展之路，科学修订“十四五”规划和人才培养方案，加快建设特色鲜明的高水平应用型本科高校新步伐，努力开创学校事业发展新局面。</w:t>
      </w:r>
    </w:p>
    <w:p w14:paraId="32B73A6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自办学以来，学校按照党中央、国务院关于政务公开工作的决策部署和教育部全面推进高校信息公开的总体安排，牢固树立信息公开、阳光校园理念，高度重视信息公开工作，不断深入贯彻落实《中共中央办公厅 国务院办公厅关于全面推进政务公开工作的意见》和《教育部办公厅关于全面推进政务公开工作的实施意见》文件精神，坚持“以公开为常态、不公开为例外”的原则，积极探索符合师生和社会要求的信息公开形式，深入推进学校工作决策公开、执行公开、管理公开、服务公开，有力保障广大师生和社会公众获取学校信息，大力提升学校工作公开度和透明度，有效推动学校依法治校进程和改革发展事业。</w:t>
      </w:r>
    </w:p>
    <w:p w14:paraId="26D3EE78">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（一）强化《清单》落实，不断强化信息公开责任</w:t>
      </w:r>
    </w:p>
    <w:p w14:paraId="59077E8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把落实《清单》要求、推进信息公开作为完善学校内部治理结构、接受社会监督的重要举措，在2023—2024学年党政工作要点明确提出要“进一步做好党务公开、校务公开等信息公开工作，坚持做到信息公开工作与依法治校、工作作风建设、党风廉政建设等工作紧密结合。”本学年，在校领导小组的正确带领下，学校各单位坚持对照《清单》内容，逐项对标，逐条明确责任，做到应公开尽公开、实时发布、及时更新。</w:t>
      </w:r>
    </w:p>
    <w:p w14:paraId="472A056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信息公开办公室作为牵头部门，进一步统一思想，将《清单》所列事项逐一对应到相关职能部门，明确了各责任单位的工作任务和工作时限，并安排专人跟进督办落实，及时发现、解决工作中存在的问题，确保《清单》公开事项落实不打折扣。</w:t>
      </w:r>
    </w:p>
    <w:p w14:paraId="49AA2DCD">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（二）持续推动信息公开制度建设</w:t>
      </w:r>
    </w:p>
    <w:p w14:paraId="2599E0B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2024学年，学校严格依据《高等学校信息公开办法》文件要求，不断完善《安阳学院信息公开实施细则（试行）》《安阳学院信息公开制度》《安阳学院信息公开指南》等信息公开相关制度文件，进一步明确了学校信息公开的指导思想、工作机构、工作职责、公开范围、公开方式、公开程序、公开监督等内容，加强精细化管理，不断提高信息公开工作的实效性。</w:t>
      </w:r>
    </w:p>
    <w:p w14:paraId="68569E3F">
      <w:pPr>
        <w:pStyle w:val="2"/>
        <w:rPr>
          <w:rFonts w:hint="eastAsia"/>
          <w:highlight w:val="none"/>
        </w:rPr>
      </w:pPr>
      <w:r>
        <w:rPr>
          <w:rFonts w:hint="eastAsia" w:ascii="仿宋_GB2312" w:hAnsi="仿宋_GB2312" w:eastAsia="仿宋_GB2312" w:cs="仿宋_GB2312"/>
          <w:sz w:val="32"/>
          <w:szCs w:val="32"/>
          <w:highlight w:val="none"/>
          <w:lang w:val="en-US" w:eastAsia="zh-CN"/>
        </w:rPr>
        <w:t>此外，学校不断深化信息公开内容，积极回应社会关注，最大限度地保障师生员工及社会公众的知情权、参与权、表达权和监督权。</w:t>
      </w:r>
    </w:p>
    <w:p w14:paraId="0BFD3B10">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二、信息主动公开情况</w:t>
      </w:r>
    </w:p>
    <w:p w14:paraId="58EB2A21">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（一）通过公开专栏信息公开情况</w:t>
      </w:r>
    </w:p>
    <w:p w14:paraId="509B3588">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学年</w:t>
      </w:r>
      <w:r>
        <w:rPr>
          <w:rFonts w:hint="eastAsia" w:ascii="仿宋_GB2312" w:hAnsi="仿宋_GB2312" w:eastAsia="仿宋_GB2312" w:cs="仿宋_GB2312"/>
          <w:sz w:val="32"/>
          <w:szCs w:val="32"/>
          <w:highlight w:val="none"/>
        </w:rPr>
        <w:t>，学校根据《高等学校信息公开事项清单》要求，进一步细化学校信息公开事项清单，着力扩展信息公开范围，明确各项公开事项的责任单位和时限要求。在规定时间内，学校通过门户网站中的信息公开专栏，向社会主动公开了《高等学校信息公开事项清单》规定的信息公开事项的信息，具体详见安阳学院信息公开专栏网址：http://www.ayxy.edu.cn/xxgkw</w:t>
      </w:r>
    </w:p>
    <w:p w14:paraId="719A0C12">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（二）通过传统媒体和新媒体信息公开情况 </w:t>
      </w:r>
    </w:p>
    <w:p w14:paraId="28834FA1">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新媒体联盟建设与发展迈入了新的阶段。本学年撰写新闻100余篇，审核官方网站新闻2000余篇；官方微信平台推送文章近278篇，原创91篇，粉丝量8.3万；官方抖音账号制作视频162条，播放量850多万，获赞5.8万，粉丝2.5万；官方快手号制作视频78条，播放量200多万，获赞1.5万，粉丝0.6万；本年度共发放校报8期，在校园内营造了浓厚的宣传氛围。</w:t>
      </w:r>
    </w:p>
    <w:p w14:paraId="1E8F0027">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（三）其他主流媒体发布公开信息情况</w:t>
      </w:r>
    </w:p>
    <w:p w14:paraId="21BC9872">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及时发现新闻线索，扎实做好学校新闻宣传工作。拓展外宣渠道，精耕宣传主题，全力构建平台广、质量高、领域宽的出彩宣传格局。十余家媒体报道我校办学成果，其中，央广网1次、人民网1次、学习强国河南学习平台2次、中国民办教育网1次、中国教育网1次、河南教育宣传网32次、河南省教育网160余次、河南高教公众号推送20余次、大河网5次、《安阳日报》3次、安阳电视台2次，安阳融媒20余次，截止至目前，各级媒体平台该累计报道学校相关新闻信息260余次。</w:t>
      </w:r>
    </w:p>
    <w:p w14:paraId="54380A0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highlight w:val="none"/>
          <w:lang w:val="en-US" w:eastAsia="zh-CN"/>
        </w:rPr>
        <w:t>重点领域信息公开情况</w:t>
      </w:r>
    </w:p>
    <w:p w14:paraId="73FDE810">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（一）招生信息公开情况</w:t>
      </w:r>
    </w:p>
    <w:p w14:paraId="253DDF2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2023—2024学年，学校全面贯彻国家教育部、省教育厅有关招生文件精神，本着公开、公平、公正的原则，先后通过教育部阳光高考信息平台、安阳学院招生信息网、安阳学院招生办官方微信公众号、官方微博等媒介，及时准确对学校单招考试招生、普通高考招生相关信息进行公开，并主动接受社会监督。公开招生信息内容：1.普通高招、单独考试招生章程、特殊类型招生办法，分批次、分科类招生计划；2.考生个人录取信息查询渠道和办法，分批次、分科类录取人数和录取最低分；3.招生咨询及考生申诉渠道。</w:t>
      </w:r>
    </w:p>
    <w:p w14:paraId="4DF8215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在招生宣传期间，招生办公室把招办咨询电话、监督电话、电子邮箱和学校网址等信息内容明确在各类招生简章中，并在招生咨询处办公室安排工作人员面对面与家长和学生沟通交流，发放招生简章等材料，准确将学校招考信息告知家长和学生。</w:t>
      </w:r>
    </w:p>
    <w:p w14:paraId="275C35B2">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（二）财务信息公开情况</w:t>
      </w:r>
    </w:p>
    <w:p w14:paraId="16264FB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2023—2024学年</w:t>
      </w:r>
      <w:r>
        <w:rPr>
          <w:rFonts w:hint="eastAsia" w:ascii="仿宋_GB2312" w:hAnsi="仿宋_GB2312" w:eastAsia="仿宋_GB2312" w:cs="仿宋_GB2312"/>
          <w:b w:val="0"/>
          <w:bCs w:val="0"/>
          <w:kern w:val="0"/>
          <w:sz w:val="32"/>
          <w:szCs w:val="32"/>
          <w:highlight w:val="none"/>
          <w:lang w:val="en-US" w:eastAsia="zh-CN" w:bidi="ar-SA"/>
        </w:rPr>
        <w:t>，学校</w:t>
      </w:r>
      <w:r>
        <w:rPr>
          <w:rFonts w:hint="eastAsia" w:ascii="仿宋_GB2312" w:hAnsi="Courier New" w:eastAsia="仿宋_GB2312" w:cs="仿宋_GB2312"/>
          <w:color w:val="000000"/>
          <w:kern w:val="2"/>
          <w:sz w:val="32"/>
          <w:szCs w:val="32"/>
          <w:highlight w:val="none"/>
          <w:lang w:val="en-US" w:eastAsia="zh-CN" w:bidi="ar"/>
        </w:rPr>
        <w:t>遵照上级有关规定，</w:t>
      </w:r>
      <w:r>
        <w:rPr>
          <w:rFonts w:hint="default" w:ascii="仿宋_GB2312" w:hAnsi="仿宋_GB2312" w:eastAsia="仿宋_GB2312" w:cs="仿宋_GB2312"/>
          <w:b w:val="0"/>
          <w:bCs w:val="0"/>
          <w:kern w:val="0"/>
          <w:sz w:val="32"/>
          <w:szCs w:val="32"/>
          <w:highlight w:val="none"/>
          <w:lang w:val="en-US" w:eastAsia="zh-CN" w:bidi="ar-SA"/>
        </w:rPr>
        <w:t>严格按照教育部、财政部规定主动向社会公开学校财务信息，对学校的财务状况、财务管理制度、会计制度、学校经费来源与年度经费预算、决算等有关信息进行公开</w:t>
      </w:r>
      <w:r>
        <w:rPr>
          <w:rFonts w:hint="eastAsia" w:ascii="仿宋_GB2312" w:hAnsi="仿宋_GB2312" w:eastAsia="仿宋_GB2312" w:cs="仿宋_GB2312"/>
          <w:b w:val="0"/>
          <w:bCs w:val="0"/>
          <w:kern w:val="0"/>
          <w:sz w:val="32"/>
          <w:szCs w:val="32"/>
          <w:highlight w:val="none"/>
          <w:lang w:val="en-US" w:eastAsia="zh-CN" w:bidi="ar-SA"/>
        </w:rPr>
        <w:t>。此外，学校严格</w:t>
      </w:r>
      <w:r>
        <w:rPr>
          <w:rFonts w:hint="eastAsia" w:ascii="仿宋_GB2312" w:hAnsi="Courier New" w:eastAsia="仿宋_GB2312" w:cs="仿宋_GB2312"/>
          <w:color w:val="000000"/>
          <w:kern w:val="2"/>
          <w:sz w:val="32"/>
          <w:szCs w:val="32"/>
          <w:highlight w:val="none"/>
          <w:lang w:val="en-US" w:eastAsia="zh-CN" w:bidi="ar"/>
        </w:rPr>
        <w:t>按照经上级部门备案过的项目标准执行，通过招生简章等方式向学生、社会公众进行收费说明，</w:t>
      </w:r>
      <w:r>
        <w:rPr>
          <w:rFonts w:hint="default" w:ascii="仿宋_GB2312" w:hAnsi="仿宋_GB2312" w:eastAsia="仿宋_GB2312" w:cs="仿宋_GB2312"/>
          <w:b w:val="0"/>
          <w:bCs w:val="0"/>
          <w:kern w:val="0"/>
          <w:sz w:val="32"/>
          <w:szCs w:val="32"/>
          <w:highlight w:val="none"/>
          <w:lang w:val="en-US" w:eastAsia="zh-CN" w:bidi="ar-SA"/>
        </w:rPr>
        <w:t>确保财务领域公开透明</w:t>
      </w:r>
      <w:r>
        <w:rPr>
          <w:rFonts w:hint="eastAsia" w:ascii="仿宋_GB2312" w:hAnsi="Courier New" w:eastAsia="仿宋_GB2312" w:cs="仿宋_GB2312"/>
          <w:color w:val="000000"/>
          <w:kern w:val="2"/>
          <w:sz w:val="32"/>
          <w:szCs w:val="32"/>
          <w:highlight w:val="none"/>
          <w:lang w:val="en-US" w:eastAsia="zh-CN" w:bidi="ar"/>
        </w:rPr>
        <w:t>。</w:t>
      </w:r>
    </w:p>
    <w:p w14:paraId="0B87890A">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（三）人事师资信息公开情况</w:t>
      </w:r>
    </w:p>
    <w:p w14:paraId="54AAA6C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2023—2024学年，学校不断推进人事信息公开工作的规范化、制度化建设，扎实做好各项工作，在人才招聘方面，加强对招聘计划、招聘程序、拟聘用人选的公示等环节，强化实施全程公开，学校通过官网、人事处二级网站公告栏、安阳学院人事处微信公众号等渠道，及时公开了《安阳学院招聘公告》《安阳学院高层人才引进及管理办法》《安阳学院校外兼职教师聘任管理办法》《安阳学院干部竞聘管理办法》等文件，公开各级各类招聘选拔信息、各类评选表彰文件和全过程材料、职称评审条件和评审工作方案，及时公示干部任免情况、选拔结果和评选结果等重要信息，共主动公开干部任命、人事招聘、职称评审、评优评先、政策文件、开展活动、绩效考核、部门例会、学生助理团例会等各类人事相关信息181余条，确保人事工作科学公正、公开透明。</w:t>
      </w:r>
    </w:p>
    <w:p w14:paraId="6FA6E98F">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（四）教育教学信息公开情况</w:t>
      </w:r>
    </w:p>
    <w:p w14:paraId="0593097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2023—2024学年</w:t>
      </w:r>
      <w:r>
        <w:rPr>
          <w:rFonts w:hint="default" w:ascii="仿宋_GB2312" w:hAnsi="Courier New" w:eastAsia="仿宋_GB2312" w:cs="仿宋_GB2312"/>
          <w:color w:val="000000"/>
          <w:kern w:val="2"/>
          <w:sz w:val="32"/>
          <w:szCs w:val="32"/>
          <w:highlight w:val="none"/>
          <w:lang w:val="en-US" w:eastAsia="zh-CN" w:bidi="ar"/>
        </w:rPr>
        <w:t>，</w:t>
      </w:r>
      <w:r>
        <w:rPr>
          <w:rFonts w:hint="eastAsia" w:ascii="仿宋_GB2312" w:hAnsi="Courier New" w:eastAsia="仿宋_GB2312" w:cs="仿宋_GB2312"/>
          <w:color w:val="000000"/>
          <w:kern w:val="2"/>
          <w:sz w:val="32"/>
          <w:szCs w:val="32"/>
          <w:highlight w:val="none"/>
          <w:lang w:val="en-US" w:eastAsia="zh-CN" w:bidi="ar"/>
        </w:rPr>
        <w:t>学校</w:t>
      </w:r>
      <w:r>
        <w:rPr>
          <w:rFonts w:hint="default" w:ascii="仿宋_GB2312" w:hAnsi="Courier New" w:eastAsia="仿宋_GB2312" w:cs="仿宋_GB2312"/>
          <w:color w:val="000000"/>
          <w:kern w:val="2"/>
          <w:sz w:val="32"/>
          <w:szCs w:val="32"/>
          <w:highlight w:val="none"/>
          <w:lang w:val="en-US" w:eastAsia="zh-CN" w:bidi="ar"/>
        </w:rPr>
        <w:t>主动向社会公开本科生教育教学情况，确保人才培养工作公开透明。通过安阳学院教务处官方网站、学校信息公开专栏网站、校内电子屏、校报等渠道，面向社会公开开设课程总门数，毕业生的规模、结构、就业率、就业流向等信息，共发布教育教学类信息</w:t>
      </w:r>
      <w:r>
        <w:rPr>
          <w:rFonts w:hint="eastAsia" w:ascii="仿宋_GB2312" w:hAnsi="Courier New" w:eastAsia="仿宋_GB2312" w:cs="仿宋_GB2312"/>
          <w:color w:val="121212"/>
          <w:kern w:val="2"/>
          <w:sz w:val="32"/>
          <w:szCs w:val="32"/>
          <w:highlight w:val="none"/>
          <w:lang w:val="en-US" w:eastAsia="zh-CN" w:bidi="ar"/>
        </w:rPr>
        <w:t>310</w:t>
      </w:r>
      <w:r>
        <w:rPr>
          <w:rFonts w:hint="eastAsia" w:ascii="仿宋_GB2312" w:hAnsi="Courier New" w:eastAsia="仿宋_GB2312" w:cs="仿宋_GB2312"/>
          <w:color w:val="000000"/>
          <w:kern w:val="2"/>
          <w:sz w:val="32"/>
          <w:szCs w:val="32"/>
          <w:highlight w:val="none"/>
          <w:lang w:val="en-US" w:eastAsia="zh-CN" w:bidi="ar"/>
        </w:rPr>
        <w:t>余</w:t>
      </w:r>
      <w:r>
        <w:rPr>
          <w:rFonts w:hint="default" w:ascii="仿宋_GB2312" w:hAnsi="Courier New" w:eastAsia="仿宋_GB2312" w:cs="仿宋_GB2312"/>
          <w:color w:val="000000"/>
          <w:kern w:val="2"/>
          <w:sz w:val="32"/>
          <w:szCs w:val="32"/>
          <w:highlight w:val="none"/>
          <w:lang w:val="en-US" w:eastAsia="zh-CN" w:bidi="ar"/>
        </w:rPr>
        <w:t>条。</w:t>
      </w:r>
    </w:p>
    <w:p w14:paraId="28215CE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学校深入实施“2023届毕业生春季促就业攻坚行动”和“百日冲刺行动”，依托国家“24365校园招聘服务活动平台”“河南省毕业生就业信息网”“安阳学院就业信息网”等10余个就业平台，千方百计拓展就业岗位，开展线上线下不间断双选会、专场招聘会、直播带岗38场，共组织用人单位1068家，提供就业职位1.3万个，岗位4.6万个，参会毕业生12000余人次；学校就业官网和微信公众号共推送用人单位招聘信息 896条，提供岗位3628个；校院领导深入203家企业开展访企拓岗促活动，持续为毕业生拓展3357个就业岗位，全力促进毕业生更充分、更高质量就业。学校2023届毕业生初次去向落实率在全省保持较高水平。</w:t>
      </w:r>
    </w:p>
    <w:p w14:paraId="2227FBE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学校</w:t>
      </w:r>
      <w:r>
        <w:rPr>
          <w:rFonts w:hint="default" w:ascii="仿宋_GB2312" w:hAnsi="Courier New" w:eastAsia="仿宋_GB2312" w:cs="仿宋_GB2312"/>
          <w:color w:val="000000"/>
          <w:kern w:val="2"/>
          <w:sz w:val="32"/>
          <w:szCs w:val="32"/>
          <w:highlight w:val="none"/>
          <w:lang w:val="en-US" w:eastAsia="zh-CN" w:bidi="ar"/>
        </w:rPr>
        <w:t>主动</w:t>
      </w:r>
      <w:r>
        <w:rPr>
          <w:rFonts w:hint="eastAsia" w:ascii="仿宋_GB2312" w:hAnsi="Courier New" w:eastAsia="仿宋_GB2312" w:cs="仿宋_GB2312"/>
          <w:color w:val="000000"/>
          <w:kern w:val="2"/>
          <w:sz w:val="32"/>
          <w:szCs w:val="32"/>
          <w:highlight w:val="none"/>
          <w:lang w:val="en-US" w:eastAsia="zh-CN" w:bidi="ar"/>
        </w:rPr>
        <w:t>在官网等平台</w:t>
      </w:r>
      <w:r>
        <w:rPr>
          <w:rFonts w:hint="default" w:ascii="仿宋_GB2312" w:hAnsi="Courier New" w:eastAsia="仿宋_GB2312" w:cs="仿宋_GB2312"/>
          <w:color w:val="000000"/>
          <w:kern w:val="2"/>
          <w:sz w:val="32"/>
          <w:szCs w:val="32"/>
          <w:highlight w:val="none"/>
          <w:lang w:val="en-US" w:eastAsia="zh-CN" w:bidi="ar"/>
        </w:rPr>
        <w:t>发布了《安阳学院</w:t>
      </w:r>
      <w:r>
        <w:rPr>
          <w:rFonts w:hint="eastAsia" w:ascii="仿宋_GB2312" w:hAnsi="Courier New" w:eastAsia="仿宋_GB2312" w:cs="仿宋_GB2312"/>
          <w:color w:val="000000"/>
          <w:kern w:val="2"/>
          <w:sz w:val="32"/>
          <w:szCs w:val="32"/>
          <w:highlight w:val="none"/>
          <w:lang w:val="en-US" w:eastAsia="zh-CN" w:bidi="ar"/>
        </w:rPr>
        <w:t>2023—2024学年</w:t>
      </w:r>
      <w:r>
        <w:rPr>
          <w:rFonts w:hint="default" w:ascii="仿宋_GB2312" w:hAnsi="Courier New" w:eastAsia="仿宋_GB2312" w:cs="仿宋_GB2312"/>
          <w:color w:val="000000"/>
          <w:kern w:val="2"/>
          <w:sz w:val="32"/>
          <w:szCs w:val="32"/>
          <w:highlight w:val="none"/>
          <w:lang w:val="en-US" w:eastAsia="zh-CN" w:bidi="ar"/>
        </w:rPr>
        <w:t>本科教学质量报告</w:t>
      </w:r>
      <w:r>
        <w:rPr>
          <w:rFonts w:hint="eastAsia" w:ascii="仿宋_GB2312" w:hAnsi="Courier New" w:eastAsia="仿宋_GB2312" w:cs="仿宋_GB2312"/>
          <w:color w:val="000000"/>
          <w:kern w:val="2"/>
          <w:sz w:val="32"/>
          <w:szCs w:val="32"/>
          <w:highlight w:val="none"/>
          <w:lang w:val="en-US" w:eastAsia="zh-CN" w:bidi="ar"/>
        </w:rPr>
        <w:t>》</w:t>
      </w:r>
      <w:r>
        <w:rPr>
          <w:rFonts w:hint="default" w:ascii="仿宋_GB2312" w:hAnsi="Courier New" w:eastAsia="仿宋_GB2312" w:cs="仿宋_GB2312"/>
          <w:color w:val="000000"/>
          <w:kern w:val="2"/>
          <w:sz w:val="32"/>
          <w:szCs w:val="32"/>
          <w:highlight w:val="none"/>
          <w:lang w:val="en-US" w:eastAsia="zh-CN" w:bidi="ar"/>
        </w:rPr>
        <w:t>《安阳学院20</w:t>
      </w:r>
      <w:r>
        <w:rPr>
          <w:rFonts w:hint="eastAsia" w:ascii="仿宋_GB2312" w:hAnsi="Courier New" w:eastAsia="仿宋_GB2312" w:cs="仿宋_GB2312"/>
          <w:color w:val="000000"/>
          <w:kern w:val="2"/>
          <w:sz w:val="32"/>
          <w:szCs w:val="32"/>
          <w:highlight w:val="none"/>
          <w:lang w:val="en-US" w:eastAsia="zh-CN" w:bidi="ar"/>
        </w:rPr>
        <w:t>23</w:t>
      </w:r>
      <w:r>
        <w:rPr>
          <w:rFonts w:hint="default" w:ascii="仿宋_GB2312" w:hAnsi="Courier New" w:eastAsia="仿宋_GB2312" w:cs="仿宋_GB2312"/>
          <w:color w:val="000000"/>
          <w:kern w:val="2"/>
          <w:sz w:val="32"/>
          <w:szCs w:val="32"/>
          <w:highlight w:val="none"/>
          <w:lang w:val="en-US" w:eastAsia="zh-CN" w:bidi="ar"/>
        </w:rPr>
        <w:t>届毕业生就业质量年度报告》等专项报告，保障师生员工和社会公众能够及时获取学校教学质量方面的详实信息及数据。</w:t>
      </w:r>
    </w:p>
    <w:p w14:paraId="0AD80C67">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（五）学生管理信息公开情况</w:t>
      </w:r>
    </w:p>
    <w:p w14:paraId="6FC839E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2023—2024学年，学校严格按照学生资助工作相关制度要求，规范开展学生奖学金、助学金、助学贷款、评优评先等各项工作，强化公示、接受监督，确保各项奖勤助贷工作公开、公平、公正。一学年，共计为5442人发放国家奖助学金1904.68万元；共有11598人获批国家助学贷款，贷款金额为13309.27万元；共评选出河南省普通高等学校优秀毕业生215人、三好学生100人、优秀学生干部33人、先进班集体32个。</w:t>
      </w:r>
    </w:p>
    <w:p w14:paraId="0EBE150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学校关于学生奖励处分办法及申诉办法的相关规定，在《学生手册》中予以说明，并在学生处官网进行公开。学校严格贯彻落实教育部《普通高等学校学生管理规定》《高等学校学籍学历电子注册办法》及河南省教育厅学籍管理的各项规定，规范学籍异动程序、公示制度。涉及退学、取消入学资格、开除学籍、转专业等涉及学生重大利益的学籍异动，均在学生处官网进行公示，公示期满无异议后方在学籍系统进行标注，确保学籍信息管理的公正、透明。</w:t>
      </w:r>
    </w:p>
    <w:p w14:paraId="15FEF071">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spacing w:val="0"/>
          <w:sz w:val="32"/>
          <w:szCs w:val="32"/>
          <w:highlight w:val="none"/>
          <w:lang w:val="en-US" w:eastAsia="zh-CN"/>
        </w:rPr>
      </w:pPr>
      <w:r>
        <w:rPr>
          <w:rFonts w:hint="eastAsia" w:ascii="黑体" w:hAnsi="黑体" w:eastAsia="黑体" w:cs="黑体"/>
          <w:spacing w:val="0"/>
          <w:kern w:val="2"/>
          <w:sz w:val="32"/>
          <w:szCs w:val="32"/>
          <w:lang w:val="en-US" w:eastAsia="zh-CN" w:bidi="ar-SA"/>
        </w:rPr>
        <w:t>四、</w:t>
      </w:r>
      <w:r>
        <w:rPr>
          <w:rFonts w:hint="eastAsia" w:ascii="黑体" w:hAnsi="黑体" w:eastAsia="黑体" w:cs="黑体"/>
          <w:spacing w:val="0"/>
          <w:sz w:val="32"/>
          <w:szCs w:val="32"/>
          <w:highlight w:val="none"/>
          <w:lang w:val="en-US" w:eastAsia="zh-CN"/>
        </w:rPr>
        <w:t>依申请公开和不予公开情况</w:t>
      </w:r>
    </w:p>
    <w:p w14:paraId="6767595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2023—2024学年</w:t>
      </w:r>
      <w:r>
        <w:rPr>
          <w:rFonts w:hint="default" w:ascii="仿宋_GB2312" w:hAnsi="Courier New" w:eastAsia="仿宋_GB2312" w:cs="仿宋_GB2312"/>
          <w:color w:val="000000"/>
          <w:kern w:val="2"/>
          <w:sz w:val="32"/>
          <w:szCs w:val="32"/>
          <w:highlight w:val="none"/>
          <w:lang w:val="en-US" w:eastAsia="zh-CN" w:bidi="ar"/>
        </w:rPr>
        <w:t>，</w:t>
      </w:r>
      <w:r>
        <w:rPr>
          <w:rFonts w:hint="eastAsia" w:ascii="仿宋_GB2312" w:hAnsi="Courier New" w:eastAsia="仿宋_GB2312" w:cs="仿宋_GB2312"/>
          <w:color w:val="000000"/>
          <w:kern w:val="2"/>
          <w:sz w:val="32"/>
          <w:szCs w:val="32"/>
          <w:highlight w:val="none"/>
          <w:lang w:val="en-US" w:eastAsia="zh-CN" w:bidi="ar"/>
        </w:rPr>
        <w:t>学校</w:t>
      </w:r>
      <w:r>
        <w:rPr>
          <w:rFonts w:hint="default" w:ascii="仿宋_GB2312" w:hAnsi="Courier New" w:eastAsia="仿宋_GB2312" w:cs="仿宋_GB2312"/>
          <w:color w:val="000000"/>
          <w:kern w:val="2"/>
          <w:sz w:val="32"/>
          <w:szCs w:val="32"/>
          <w:highlight w:val="none"/>
          <w:lang w:val="en-US" w:eastAsia="zh-CN" w:bidi="ar"/>
        </w:rPr>
        <w:t>未收到任何形式提出的信息公开申请，亦未发生有关申请公开信息收费和费用减免的情况。</w:t>
      </w:r>
    </w:p>
    <w:p w14:paraId="7E56589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spacing w:val="0"/>
          <w:sz w:val="32"/>
          <w:szCs w:val="32"/>
          <w:highlight w:val="none"/>
          <w:lang w:val="en-US" w:eastAsia="zh-CN"/>
        </w:rPr>
      </w:pPr>
      <w:r>
        <w:rPr>
          <w:rFonts w:hint="eastAsia" w:ascii="黑体" w:hAnsi="黑体" w:eastAsia="黑体" w:cs="黑体"/>
          <w:spacing w:val="0"/>
          <w:kern w:val="2"/>
          <w:sz w:val="32"/>
          <w:szCs w:val="32"/>
          <w:lang w:val="en-US" w:eastAsia="zh-CN" w:bidi="ar-SA"/>
        </w:rPr>
        <w:t>五、</w:t>
      </w:r>
      <w:r>
        <w:rPr>
          <w:rFonts w:hint="eastAsia" w:ascii="黑体" w:hAnsi="黑体" w:eastAsia="黑体" w:cs="黑体"/>
          <w:spacing w:val="0"/>
          <w:sz w:val="32"/>
          <w:szCs w:val="32"/>
          <w:highlight w:val="none"/>
          <w:lang w:val="en-US" w:eastAsia="zh-CN"/>
        </w:rPr>
        <w:t>信息公开的评议及举报、复议、诉讼情况</w:t>
      </w:r>
    </w:p>
    <w:p w14:paraId="2EC7987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color w:val="000000"/>
          <w:kern w:val="2"/>
          <w:sz w:val="32"/>
          <w:szCs w:val="32"/>
          <w:highlight w:val="none"/>
          <w:lang w:val="en-US" w:eastAsia="zh-CN" w:bidi="ar"/>
        </w:rPr>
        <w:t>学校</w:t>
      </w:r>
      <w:r>
        <w:rPr>
          <w:rFonts w:hint="default" w:ascii="仿宋_GB2312" w:hAnsi="Courier New" w:eastAsia="仿宋_GB2312" w:cs="仿宋_GB2312"/>
          <w:color w:val="000000"/>
          <w:kern w:val="2"/>
          <w:sz w:val="32"/>
          <w:szCs w:val="32"/>
          <w:highlight w:val="none"/>
          <w:lang w:val="en-US" w:eastAsia="zh-CN" w:bidi="ar"/>
        </w:rPr>
        <w:t>在信息公开专栏公布了信息公开邮箱、监督电话、监督部门及联系方式等，将信息公开工作置于师生员工和社会公众的监督之下，广泛听取师生员工和社会公众的评议意见和相关建议。</w:t>
      </w:r>
      <w:r>
        <w:rPr>
          <w:rFonts w:hint="eastAsia" w:ascii="仿宋_GB2312" w:hAnsi="Courier New" w:eastAsia="仿宋_GB2312" w:cs="仿宋_GB2312"/>
          <w:color w:val="000000"/>
          <w:kern w:val="2"/>
          <w:sz w:val="32"/>
          <w:szCs w:val="32"/>
          <w:highlight w:val="none"/>
          <w:lang w:val="en-US" w:eastAsia="zh-CN" w:bidi="ar"/>
        </w:rPr>
        <w:t>2023—2024学年</w:t>
      </w:r>
      <w:r>
        <w:rPr>
          <w:rFonts w:hint="default" w:ascii="仿宋_GB2312" w:hAnsi="Courier New" w:eastAsia="仿宋_GB2312" w:cs="仿宋_GB2312"/>
          <w:color w:val="000000"/>
          <w:kern w:val="2"/>
          <w:sz w:val="32"/>
          <w:szCs w:val="32"/>
          <w:highlight w:val="none"/>
          <w:lang w:val="en-US" w:eastAsia="zh-CN" w:bidi="ar"/>
        </w:rPr>
        <w:t>，学校师生员工对学校信息公开工作表示满意，社会公众对学校信息公开工作广泛认可，没有收到有关信息公开的举报投诉，没有发生因学校信息公开工作而复议、涉诉的情况。</w:t>
      </w:r>
    </w:p>
    <w:p w14:paraId="2254A89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kern w:val="2"/>
          <w:sz w:val="32"/>
          <w:szCs w:val="32"/>
          <w:highlight w:val="none"/>
          <w:lang w:val="en-US" w:eastAsia="zh-CN" w:bidi="ar"/>
        </w:rPr>
      </w:pPr>
      <w:r>
        <w:rPr>
          <w:rFonts w:hint="eastAsia" w:ascii="黑体" w:hAnsi="黑体" w:eastAsia="黑体" w:cs="黑体"/>
          <w:color w:val="000000"/>
          <w:kern w:val="2"/>
          <w:sz w:val="32"/>
          <w:szCs w:val="32"/>
          <w:highlight w:val="none"/>
          <w:lang w:val="en-US" w:eastAsia="zh-CN" w:bidi="ar"/>
        </w:rPr>
        <w:t>六、信息公开的新做法新举措、主要经验、问题和下一步改进措施</w:t>
      </w:r>
    </w:p>
    <w:p w14:paraId="0BCEAD6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Courier New" w:eastAsia="仿宋_GB2312" w:cs="仿宋_GB2312"/>
          <w:color w:val="000000"/>
          <w:kern w:val="2"/>
          <w:sz w:val="32"/>
          <w:szCs w:val="32"/>
          <w:highlight w:val="none"/>
          <w:lang w:val="en-US" w:eastAsia="zh-CN" w:bidi="ar"/>
        </w:rPr>
        <w:t>2023—2024学年</w:t>
      </w:r>
      <w:r>
        <w:rPr>
          <w:rFonts w:hint="default" w:ascii="仿宋_GB2312" w:hAnsi="Courier New" w:eastAsia="仿宋_GB2312" w:cs="仿宋_GB2312"/>
          <w:color w:val="000000"/>
          <w:kern w:val="2"/>
          <w:sz w:val="32"/>
          <w:szCs w:val="32"/>
          <w:highlight w:val="none"/>
          <w:lang w:val="en-US" w:eastAsia="zh-CN" w:bidi="ar"/>
        </w:rPr>
        <w:t>，</w:t>
      </w:r>
      <w:r>
        <w:rPr>
          <w:rFonts w:hint="eastAsia" w:ascii="仿宋_GB2312" w:hAnsi="Courier New" w:eastAsia="仿宋_GB2312" w:cs="仿宋_GB2312"/>
          <w:color w:val="000000"/>
          <w:kern w:val="2"/>
          <w:sz w:val="32"/>
          <w:szCs w:val="32"/>
          <w:highlight w:val="none"/>
          <w:lang w:val="en-US" w:eastAsia="zh-CN" w:bidi="ar"/>
        </w:rPr>
        <w:t>在河南省教育厅的正确</w:t>
      </w:r>
      <w:r>
        <w:rPr>
          <w:rFonts w:hint="default" w:ascii="仿宋_GB2312" w:hAnsi="Courier New" w:eastAsia="仿宋_GB2312" w:cs="仿宋_GB2312"/>
          <w:color w:val="000000"/>
          <w:kern w:val="2"/>
          <w:sz w:val="32"/>
          <w:szCs w:val="32"/>
          <w:highlight w:val="none"/>
          <w:lang w:val="en-US" w:eastAsia="zh-CN" w:bidi="ar"/>
        </w:rPr>
        <w:t>领导下，</w:t>
      </w:r>
      <w:r>
        <w:rPr>
          <w:rFonts w:hint="eastAsia" w:ascii="仿宋_GB2312" w:hAnsi="Courier New" w:eastAsia="仿宋_GB2312" w:cs="仿宋_GB2312"/>
          <w:color w:val="000000"/>
          <w:kern w:val="2"/>
          <w:sz w:val="32"/>
          <w:szCs w:val="32"/>
          <w:highlight w:val="none"/>
          <w:lang w:val="en-US" w:eastAsia="zh-CN" w:bidi="ar"/>
        </w:rPr>
        <w:t>在学校领导的高度重视下，不断优化信息公开平台，创新公开方式，</w:t>
      </w:r>
      <w:r>
        <w:rPr>
          <w:rFonts w:hint="default" w:ascii="仿宋_GB2312" w:hAnsi="Courier New" w:eastAsia="仿宋_GB2312" w:cs="仿宋_GB2312"/>
          <w:color w:val="000000"/>
          <w:kern w:val="2"/>
          <w:sz w:val="32"/>
          <w:szCs w:val="32"/>
          <w:highlight w:val="none"/>
          <w:lang w:val="en-US" w:eastAsia="zh-CN" w:bidi="ar"/>
        </w:rPr>
        <w:t>主动适应全媒体时代信息传播的新特点和新要求，积极探索信息传播的新渠道和新形式，以师生和社会公众更容易接受和理解的文字语言，更生动的表现形式进行公开，收到了良好效果</w:t>
      </w:r>
      <w:r>
        <w:rPr>
          <w:rFonts w:hint="eastAsia" w:ascii="仿宋_GB2312" w:hAnsi="Courier New" w:eastAsia="仿宋_GB2312" w:cs="仿宋_GB2312"/>
          <w:color w:val="000000"/>
          <w:kern w:val="2"/>
          <w:sz w:val="32"/>
          <w:szCs w:val="32"/>
          <w:highlight w:val="none"/>
          <w:lang w:val="en-US" w:eastAsia="zh-CN" w:bidi="ar"/>
        </w:rPr>
        <w:t>但还存在一些不足和问题，例如，虽然在主动公开信息方面做了大量工作，但仍存在部分信息公开不够深入、全面的情况。学校处理信息公开事项能力和意识还有待提升，工作运行机制需进一步完善，在利用微信公众号等新媒体平台进行信息公开时，虽然已经增加了一些互动功能，但整体互动性仍不够强，公众参与度不高。</w:t>
      </w:r>
      <w:r>
        <w:rPr>
          <w:rFonts w:hint="eastAsia" w:ascii="仿宋_GB2312" w:hAnsi="仿宋_GB2312" w:eastAsia="仿宋_GB2312" w:cs="仿宋_GB2312"/>
          <w:spacing w:val="0"/>
          <w:sz w:val="32"/>
          <w:szCs w:val="32"/>
          <w:highlight w:val="none"/>
          <w:lang w:val="en-US" w:eastAsia="zh-CN"/>
        </w:rPr>
        <w:t>在今后的工作中，学校将</w:t>
      </w:r>
      <w:r>
        <w:rPr>
          <w:rFonts w:hint="default" w:ascii="仿宋_GB2312" w:hAnsi="Courier New" w:eastAsia="仿宋_GB2312" w:cs="仿宋_GB2312"/>
          <w:color w:val="000000"/>
          <w:kern w:val="2"/>
          <w:sz w:val="32"/>
          <w:szCs w:val="32"/>
          <w:highlight w:val="none"/>
          <w:lang w:val="en-US" w:eastAsia="zh-CN" w:bidi="ar"/>
        </w:rPr>
        <w:t>继续严格按照信息公开工作的相关要求，</w:t>
      </w:r>
      <w:r>
        <w:rPr>
          <w:rFonts w:hint="eastAsia" w:ascii="仿宋_GB2312" w:hAnsi="仿宋_GB2312" w:eastAsia="仿宋_GB2312" w:cs="仿宋_GB2312"/>
          <w:spacing w:val="0"/>
          <w:sz w:val="32"/>
          <w:szCs w:val="32"/>
          <w:highlight w:val="none"/>
          <w:lang w:val="en-US" w:eastAsia="zh-CN"/>
        </w:rPr>
        <w:t>重点做好以下工作：</w:t>
      </w:r>
    </w:p>
    <w:p w14:paraId="083AD4F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default" w:ascii="仿宋_GB2312" w:hAnsi="Courier New" w:eastAsia="仿宋_GB2312" w:cs="仿宋_GB2312"/>
          <w:b/>
          <w:bCs/>
          <w:color w:val="000000"/>
          <w:kern w:val="2"/>
          <w:sz w:val="32"/>
          <w:szCs w:val="32"/>
          <w:highlight w:val="none"/>
          <w:lang w:val="en-US" w:eastAsia="zh-CN" w:bidi="ar"/>
        </w:rPr>
        <w:t>一</w:t>
      </w:r>
      <w:r>
        <w:rPr>
          <w:rFonts w:hint="eastAsia" w:ascii="仿宋_GB2312" w:hAnsi="Courier New" w:eastAsia="仿宋_GB2312" w:cs="仿宋_GB2312"/>
          <w:b/>
          <w:bCs/>
          <w:color w:val="000000"/>
          <w:kern w:val="2"/>
          <w:sz w:val="32"/>
          <w:szCs w:val="32"/>
          <w:highlight w:val="none"/>
          <w:lang w:val="en-US" w:eastAsia="zh-CN" w:bidi="ar"/>
        </w:rPr>
        <w:t>是健全信息公开机制。</w:t>
      </w:r>
      <w:r>
        <w:rPr>
          <w:rFonts w:hint="eastAsia" w:ascii="仿宋_GB2312" w:hAnsi="Courier New" w:eastAsia="仿宋_GB2312" w:cs="仿宋_GB2312"/>
          <w:color w:val="000000"/>
          <w:kern w:val="2"/>
          <w:sz w:val="32"/>
          <w:szCs w:val="32"/>
          <w:highlight w:val="none"/>
          <w:lang w:val="en-US" w:eastAsia="zh-CN" w:bidi="ar"/>
        </w:rPr>
        <w:t>注重顶层设计，完善工作组织架构，着力构建学校信息公开领导小组统一领导、信息公开办公室管理协调、各单位具体分工负责、师生员工积极参与的信息公开工作格局。加强信息公开部门的机构设置与人员配备，增强信息公开工作的专业化和规划范，提升信息公开工作的业务水平。</w:t>
      </w:r>
    </w:p>
    <w:p w14:paraId="0AB3B1C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b/>
          <w:bCs/>
          <w:color w:val="000000"/>
          <w:kern w:val="2"/>
          <w:sz w:val="32"/>
          <w:szCs w:val="32"/>
          <w:highlight w:val="none"/>
          <w:lang w:val="en-US" w:eastAsia="zh-CN" w:bidi="ar"/>
        </w:rPr>
        <w:t>二</w:t>
      </w:r>
      <w:r>
        <w:rPr>
          <w:rFonts w:hint="default" w:ascii="仿宋_GB2312" w:hAnsi="Courier New" w:eastAsia="仿宋_GB2312" w:cs="仿宋_GB2312"/>
          <w:b/>
          <w:bCs/>
          <w:color w:val="000000"/>
          <w:kern w:val="2"/>
          <w:sz w:val="32"/>
          <w:szCs w:val="32"/>
          <w:highlight w:val="none"/>
          <w:lang w:val="en-US" w:eastAsia="zh-CN" w:bidi="ar"/>
        </w:rPr>
        <w:t>是</w:t>
      </w:r>
      <w:r>
        <w:rPr>
          <w:rFonts w:hint="eastAsia" w:ascii="仿宋_GB2312" w:hAnsi="Courier New" w:eastAsia="仿宋_GB2312" w:cs="仿宋_GB2312"/>
          <w:b/>
          <w:bCs/>
          <w:color w:val="000000"/>
          <w:kern w:val="2"/>
          <w:sz w:val="32"/>
          <w:szCs w:val="32"/>
          <w:highlight w:val="none"/>
          <w:lang w:val="en-US" w:eastAsia="zh-CN" w:bidi="ar"/>
        </w:rPr>
        <w:t>优化学校信息公开体系</w:t>
      </w:r>
      <w:r>
        <w:rPr>
          <w:rFonts w:hint="default" w:ascii="仿宋_GB2312" w:hAnsi="Courier New" w:eastAsia="仿宋_GB2312" w:cs="仿宋_GB2312"/>
          <w:b/>
          <w:bCs/>
          <w:color w:val="000000"/>
          <w:kern w:val="2"/>
          <w:sz w:val="32"/>
          <w:szCs w:val="32"/>
          <w:highlight w:val="none"/>
          <w:lang w:val="en-US" w:eastAsia="zh-CN" w:bidi="ar"/>
        </w:rPr>
        <w:t>。</w:t>
      </w:r>
      <w:r>
        <w:rPr>
          <w:rFonts w:hint="default" w:ascii="仿宋_GB2312" w:hAnsi="Courier New" w:eastAsia="仿宋_GB2312" w:cs="仿宋_GB2312"/>
          <w:color w:val="000000"/>
          <w:kern w:val="2"/>
          <w:sz w:val="32"/>
          <w:szCs w:val="32"/>
          <w:highlight w:val="none"/>
          <w:lang w:val="en-US" w:eastAsia="zh-CN" w:bidi="ar"/>
        </w:rPr>
        <w:t>认真学习贯彻上级有关信息公开工作的文件，</w:t>
      </w:r>
      <w:r>
        <w:rPr>
          <w:rFonts w:hint="eastAsia" w:ascii="仿宋_GB2312" w:hAnsi="Courier New" w:eastAsia="仿宋_GB2312" w:cs="仿宋_GB2312"/>
          <w:color w:val="000000"/>
          <w:kern w:val="2"/>
          <w:sz w:val="32"/>
          <w:szCs w:val="32"/>
          <w:highlight w:val="none"/>
          <w:lang w:val="en-US" w:eastAsia="zh-CN" w:bidi="ar"/>
        </w:rPr>
        <w:t>结合学校实际，建立更加完善的内部沟通协调机制，明确各部门在处理依申请公开信息请求时的职责，加强部门间的协作，提高处理效率，缩短处理时间，进一步完善学校信息公开网的栏目设置，优化网页设计，增强信息检索的准确性、便捷性，提供服务水平。</w:t>
      </w:r>
    </w:p>
    <w:p w14:paraId="51A5D66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eastAsia" w:ascii="仿宋_GB2312" w:hAnsi="Courier New" w:eastAsia="仿宋_GB2312" w:cs="仿宋_GB2312"/>
          <w:b/>
          <w:bCs/>
          <w:i w:val="0"/>
          <w:iCs w:val="0"/>
          <w:color w:val="000000"/>
          <w:kern w:val="2"/>
          <w:sz w:val="32"/>
          <w:szCs w:val="32"/>
          <w:highlight w:val="none"/>
          <w:lang w:val="en-US" w:eastAsia="zh-CN" w:bidi="ar"/>
        </w:rPr>
        <w:t>三是加强信息公开培训。</w:t>
      </w:r>
      <w:r>
        <w:rPr>
          <w:rFonts w:hint="eastAsia" w:ascii="仿宋_GB2312" w:hAnsi="Courier New" w:eastAsia="仿宋_GB2312" w:cs="仿宋_GB2312"/>
          <w:color w:val="000000"/>
          <w:kern w:val="2"/>
          <w:sz w:val="32"/>
          <w:szCs w:val="32"/>
          <w:highlight w:val="none"/>
          <w:lang w:val="en-US" w:eastAsia="zh-CN" w:bidi="ar"/>
        </w:rPr>
        <w:t>进一步探索健全全校信息员队伍，通过专题培训、专题研讨会等多种形式，将进一步梳理流程，</w:t>
      </w:r>
      <w:r>
        <w:rPr>
          <w:rFonts w:hint="eastAsia" w:ascii="仿宋_GB2312" w:hAnsi="Courier New" w:eastAsia="仿宋_GB2312" w:cs="仿宋_GB2312"/>
          <w:color w:val="000000"/>
          <w:kern w:val="2"/>
          <w:sz w:val="32"/>
          <w:szCs w:val="32"/>
          <w:highlight w:val="none"/>
          <w:lang w:val="en-US" w:eastAsia="zh-CN" w:bidi="ar"/>
        </w:rPr>
        <w:t>继续深入学习贯彻信息</w:t>
      </w:r>
      <w:bookmarkStart w:id="0" w:name="_GoBack"/>
      <w:bookmarkEnd w:id="0"/>
      <w:r>
        <w:rPr>
          <w:rFonts w:hint="eastAsia" w:ascii="仿宋_GB2312" w:hAnsi="Courier New" w:eastAsia="仿宋_GB2312" w:cs="仿宋_GB2312"/>
          <w:color w:val="000000"/>
          <w:kern w:val="2"/>
          <w:sz w:val="32"/>
          <w:szCs w:val="32"/>
          <w:highlight w:val="none"/>
          <w:lang w:val="en-US" w:eastAsia="zh-CN" w:bidi="ar"/>
        </w:rPr>
        <w:t>公开有关规定要求，不断提高信息公开工作人员的思想认识，加强工作理论培训和技能培训，提升业务素质能力，提高学校信息公开的深度和广度。</w:t>
      </w:r>
    </w:p>
    <w:p w14:paraId="1B44B30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kern w:val="2"/>
          <w:sz w:val="32"/>
          <w:szCs w:val="32"/>
          <w:highlight w:val="none"/>
          <w:lang w:val="en-US" w:eastAsia="zh-CN" w:bidi="ar"/>
        </w:rPr>
      </w:pPr>
      <w:r>
        <w:rPr>
          <w:rFonts w:hint="eastAsia" w:ascii="黑体" w:hAnsi="黑体" w:eastAsia="黑体" w:cs="黑体"/>
          <w:color w:val="000000"/>
          <w:kern w:val="2"/>
          <w:sz w:val="32"/>
          <w:szCs w:val="32"/>
          <w:highlight w:val="none"/>
          <w:lang w:val="en-US" w:eastAsia="zh-CN" w:bidi="ar"/>
        </w:rPr>
        <w:t>七、其他需要报告的事项</w:t>
      </w:r>
    </w:p>
    <w:p w14:paraId="173BE2A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Courier New" w:eastAsia="仿宋_GB2312" w:cs="仿宋_GB2312"/>
          <w:color w:val="000000"/>
          <w:kern w:val="2"/>
          <w:sz w:val="32"/>
          <w:szCs w:val="32"/>
          <w:highlight w:val="none"/>
          <w:lang w:val="en-US" w:eastAsia="zh-CN" w:bidi="ar"/>
        </w:rPr>
      </w:pPr>
      <w:r>
        <w:rPr>
          <w:rFonts w:hint="default" w:ascii="仿宋_GB2312" w:hAnsi="Courier New" w:eastAsia="仿宋_GB2312" w:cs="仿宋_GB2312"/>
          <w:color w:val="000000"/>
          <w:kern w:val="2"/>
          <w:sz w:val="32"/>
          <w:szCs w:val="32"/>
          <w:highlight w:val="none"/>
          <w:lang w:val="en-US" w:eastAsia="zh-CN" w:bidi="ar"/>
        </w:rPr>
        <w:t>本年度无其他需要报告的事项。</w:t>
      </w:r>
    </w:p>
    <w:p w14:paraId="29E66982">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kern w:val="2"/>
          <w:sz w:val="32"/>
          <w:szCs w:val="32"/>
          <w:highlight w:val="none"/>
          <w:lang w:val="en-US" w:eastAsia="zh-CN" w:bidi="ar"/>
        </w:rPr>
      </w:pPr>
      <w:r>
        <w:rPr>
          <w:rFonts w:hint="eastAsia" w:ascii="黑体" w:hAnsi="黑体" w:eastAsia="黑体" w:cs="黑体"/>
          <w:color w:val="000000"/>
          <w:kern w:val="2"/>
          <w:sz w:val="32"/>
          <w:szCs w:val="32"/>
          <w:highlight w:val="none"/>
          <w:lang w:val="en-US" w:eastAsia="zh-CN" w:bidi="ar"/>
        </w:rPr>
        <w:t>清单事项公开情况表</w:t>
      </w:r>
    </w:p>
    <w:tbl>
      <w:tblPr>
        <w:tblStyle w:val="7"/>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44"/>
        <w:gridCol w:w="993"/>
        <w:gridCol w:w="2180"/>
        <w:gridCol w:w="2682"/>
      </w:tblGrid>
      <w:tr w14:paraId="180A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noWrap w:val="0"/>
            <w:vAlign w:val="center"/>
          </w:tcPr>
          <w:p w14:paraId="167F70BA">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类别</w:t>
            </w:r>
          </w:p>
        </w:tc>
        <w:tc>
          <w:tcPr>
            <w:tcW w:w="2244" w:type="dxa"/>
            <w:noWrap w:val="0"/>
            <w:vAlign w:val="center"/>
          </w:tcPr>
          <w:p w14:paraId="581AB62A">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公开事项</w:t>
            </w:r>
          </w:p>
        </w:tc>
        <w:tc>
          <w:tcPr>
            <w:tcW w:w="993" w:type="dxa"/>
            <w:noWrap w:val="0"/>
            <w:vAlign w:val="center"/>
          </w:tcPr>
          <w:p w14:paraId="6101236F">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2180" w:type="dxa"/>
            <w:noWrap w:val="0"/>
            <w:vAlign w:val="center"/>
          </w:tcPr>
          <w:p w14:paraId="26A53BEB">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具体内容</w:t>
            </w:r>
          </w:p>
        </w:tc>
        <w:tc>
          <w:tcPr>
            <w:tcW w:w="2682" w:type="dxa"/>
            <w:noWrap w:val="0"/>
            <w:vAlign w:val="center"/>
          </w:tcPr>
          <w:p w14:paraId="753ABBC7">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相关链接</w:t>
            </w:r>
          </w:p>
        </w:tc>
      </w:tr>
      <w:tr w14:paraId="4055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04" w:type="dxa"/>
            <w:vMerge w:val="restart"/>
            <w:noWrap w:val="0"/>
            <w:vAlign w:val="center"/>
          </w:tcPr>
          <w:p w14:paraId="16C5404F">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一、基本信息</w:t>
            </w:r>
          </w:p>
        </w:tc>
        <w:tc>
          <w:tcPr>
            <w:tcW w:w="2244" w:type="dxa"/>
            <w:vMerge w:val="restart"/>
            <w:noWrap w:val="0"/>
            <w:vAlign w:val="center"/>
          </w:tcPr>
          <w:p w14:paraId="655A926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1、办学规模、校级领导班子简介及分工、校领导联系院系分工、学校机构设置、学科情况、专业情况、各类在校生情况、教师和专业技术人员数量等办学基本情况</w:t>
            </w:r>
          </w:p>
        </w:tc>
        <w:tc>
          <w:tcPr>
            <w:tcW w:w="993" w:type="dxa"/>
            <w:vMerge w:val="restart"/>
            <w:noWrap w:val="0"/>
            <w:vAlign w:val="center"/>
          </w:tcPr>
          <w:p w14:paraId="20E948F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2180" w:type="dxa"/>
            <w:noWrap w:val="0"/>
            <w:vAlign w:val="center"/>
          </w:tcPr>
          <w:p w14:paraId="03E737E7">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办学规模</w:t>
            </w:r>
          </w:p>
        </w:tc>
        <w:tc>
          <w:tcPr>
            <w:tcW w:w="2682" w:type="dxa"/>
            <w:noWrap w:val="0"/>
            <w:vAlign w:val="center"/>
          </w:tcPr>
          <w:p w14:paraId="0B99A054">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http://www.ayxy.edu.cn/contents/11/1333.html</w:t>
            </w:r>
          </w:p>
        </w:tc>
      </w:tr>
      <w:tr w14:paraId="766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4" w:type="dxa"/>
            <w:vMerge w:val="continue"/>
            <w:noWrap w:val="0"/>
            <w:vAlign w:val="center"/>
          </w:tcPr>
          <w:p w14:paraId="1BF67B39">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1804D8EA">
            <w:pPr>
              <w:spacing w:line="440" w:lineRule="exact"/>
              <w:jc w:val="center"/>
              <w:rPr>
                <w:rFonts w:ascii="仿宋" w:hAnsi="仿宋" w:eastAsia="仿宋"/>
                <w:sz w:val="24"/>
                <w:szCs w:val="24"/>
                <w:highlight w:val="none"/>
              </w:rPr>
            </w:pPr>
          </w:p>
        </w:tc>
        <w:tc>
          <w:tcPr>
            <w:tcW w:w="993" w:type="dxa"/>
            <w:vMerge w:val="continue"/>
            <w:noWrap w:val="0"/>
            <w:vAlign w:val="center"/>
          </w:tcPr>
          <w:p w14:paraId="7E745A70">
            <w:pPr>
              <w:spacing w:line="440" w:lineRule="exact"/>
              <w:jc w:val="center"/>
              <w:rPr>
                <w:rFonts w:ascii="仿宋" w:hAnsi="仿宋" w:eastAsia="仿宋"/>
                <w:sz w:val="24"/>
                <w:szCs w:val="24"/>
                <w:highlight w:val="none"/>
              </w:rPr>
            </w:pPr>
          </w:p>
        </w:tc>
        <w:tc>
          <w:tcPr>
            <w:tcW w:w="2180" w:type="dxa"/>
            <w:noWrap w:val="0"/>
            <w:vAlign w:val="center"/>
          </w:tcPr>
          <w:p w14:paraId="29A1D319">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校级领导班子简介及分工</w:t>
            </w:r>
          </w:p>
        </w:tc>
        <w:tc>
          <w:tcPr>
            <w:tcW w:w="2682" w:type="dxa"/>
            <w:noWrap w:val="0"/>
            <w:vAlign w:val="center"/>
          </w:tcPr>
          <w:p w14:paraId="3FED4DB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http://www.ayrwedu.cn/channels/13.html</w:t>
            </w:r>
          </w:p>
        </w:tc>
      </w:tr>
      <w:tr w14:paraId="3955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4" w:type="dxa"/>
            <w:vMerge w:val="continue"/>
            <w:noWrap w:val="0"/>
            <w:vAlign w:val="center"/>
          </w:tcPr>
          <w:p w14:paraId="3F2CC17E">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3170BA7E">
            <w:pPr>
              <w:spacing w:line="440" w:lineRule="exact"/>
              <w:jc w:val="center"/>
              <w:rPr>
                <w:rFonts w:ascii="仿宋" w:hAnsi="仿宋" w:eastAsia="仿宋"/>
                <w:sz w:val="24"/>
                <w:szCs w:val="24"/>
                <w:highlight w:val="none"/>
              </w:rPr>
            </w:pPr>
          </w:p>
        </w:tc>
        <w:tc>
          <w:tcPr>
            <w:tcW w:w="993" w:type="dxa"/>
            <w:vMerge w:val="continue"/>
            <w:noWrap w:val="0"/>
            <w:vAlign w:val="center"/>
          </w:tcPr>
          <w:p w14:paraId="24F07F35">
            <w:pPr>
              <w:spacing w:line="440" w:lineRule="exact"/>
              <w:jc w:val="center"/>
              <w:rPr>
                <w:rFonts w:ascii="仿宋" w:hAnsi="仿宋" w:eastAsia="仿宋"/>
                <w:sz w:val="24"/>
                <w:szCs w:val="24"/>
                <w:highlight w:val="none"/>
              </w:rPr>
            </w:pPr>
          </w:p>
        </w:tc>
        <w:tc>
          <w:tcPr>
            <w:tcW w:w="2180" w:type="dxa"/>
            <w:noWrap w:val="0"/>
            <w:vAlign w:val="center"/>
          </w:tcPr>
          <w:p w14:paraId="237D263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学校机构设置</w:t>
            </w:r>
          </w:p>
        </w:tc>
        <w:tc>
          <w:tcPr>
            <w:tcW w:w="2682" w:type="dxa"/>
            <w:noWrap w:val="0"/>
            <w:vAlign w:val="center"/>
          </w:tcPr>
          <w:p w14:paraId="7761BBB6">
            <w:pPr>
              <w:spacing w:line="440" w:lineRule="exact"/>
              <w:jc w:val="center"/>
              <w:rPr>
                <w:rFonts w:ascii="仿宋" w:hAnsi="仿宋" w:eastAsia="仿宋"/>
                <w:sz w:val="21"/>
                <w:szCs w:val="21"/>
                <w:highlight w:val="none"/>
              </w:rPr>
            </w:pPr>
            <w:r>
              <w:rPr>
                <w:rFonts w:hint="eastAsia" w:ascii="仿宋" w:hAnsi="仿宋" w:eastAsia="仿宋"/>
                <w:sz w:val="21"/>
                <w:szCs w:val="21"/>
                <w:highlight w:val="none"/>
              </w:rPr>
              <w:t>http://www.ayxy.edu.cn/</w:t>
            </w:r>
          </w:p>
        </w:tc>
      </w:tr>
      <w:tr w14:paraId="05AD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4" w:type="dxa"/>
            <w:vMerge w:val="continue"/>
            <w:noWrap w:val="0"/>
            <w:vAlign w:val="center"/>
          </w:tcPr>
          <w:p w14:paraId="3B11DAA4">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417EFD52">
            <w:pPr>
              <w:spacing w:line="440" w:lineRule="exact"/>
              <w:jc w:val="center"/>
              <w:rPr>
                <w:rFonts w:ascii="仿宋" w:hAnsi="仿宋" w:eastAsia="仿宋"/>
                <w:sz w:val="24"/>
                <w:szCs w:val="24"/>
                <w:highlight w:val="none"/>
              </w:rPr>
            </w:pPr>
          </w:p>
        </w:tc>
        <w:tc>
          <w:tcPr>
            <w:tcW w:w="993" w:type="dxa"/>
            <w:vMerge w:val="continue"/>
            <w:noWrap w:val="0"/>
            <w:vAlign w:val="center"/>
          </w:tcPr>
          <w:p w14:paraId="65064AD1">
            <w:pPr>
              <w:spacing w:line="440" w:lineRule="exact"/>
              <w:jc w:val="center"/>
              <w:rPr>
                <w:rFonts w:ascii="仿宋" w:hAnsi="仿宋" w:eastAsia="仿宋"/>
                <w:sz w:val="24"/>
                <w:szCs w:val="24"/>
                <w:highlight w:val="none"/>
              </w:rPr>
            </w:pPr>
          </w:p>
        </w:tc>
        <w:tc>
          <w:tcPr>
            <w:tcW w:w="2180" w:type="dxa"/>
            <w:noWrap w:val="0"/>
            <w:vAlign w:val="center"/>
          </w:tcPr>
          <w:p w14:paraId="4E89E33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学科情况</w:t>
            </w:r>
          </w:p>
        </w:tc>
        <w:tc>
          <w:tcPr>
            <w:tcW w:w="2682" w:type="dxa"/>
            <w:noWrap w:val="0"/>
            <w:vAlign w:val="center"/>
          </w:tcPr>
          <w:p w14:paraId="0359D96E">
            <w:pPr>
              <w:spacing w:line="440" w:lineRule="exact"/>
              <w:jc w:val="center"/>
              <w:rPr>
                <w:rFonts w:hint="eastAsia" w:ascii="仿宋" w:hAnsi="仿宋" w:eastAsia="仿宋"/>
                <w:sz w:val="21"/>
                <w:szCs w:val="21"/>
                <w:highlight w:val="none"/>
              </w:rPr>
            </w:pPr>
            <w:r>
              <w:rPr>
                <w:rFonts w:hint="eastAsia" w:ascii="仿宋" w:hAnsi="仿宋" w:eastAsia="仿宋"/>
                <w:sz w:val="21"/>
                <w:szCs w:val="21"/>
                <w:highlight w:val="none"/>
              </w:rPr>
              <w:t>http://www.ayxy.edu.cn/contents/11/1333.html</w:t>
            </w:r>
          </w:p>
        </w:tc>
      </w:tr>
      <w:tr w14:paraId="101B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4" w:type="dxa"/>
            <w:vMerge w:val="continue"/>
            <w:noWrap w:val="0"/>
            <w:vAlign w:val="center"/>
          </w:tcPr>
          <w:p w14:paraId="76D17490">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7ED16575">
            <w:pPr>
              <w:spacing w:line="440" w:lineRule="exact"/>
              <w:jc w:val="center"/>
              <w:rPr>
                <w:rFonts w:ascii="仿宋" w:hAnsi="仿宋" w:eastAsia="仿宋"/>
                <w:sz w:val="24"/>
                <w:szCs w:val="24"/>
                <w:highlight w:val="none"/>
              </w:rPr>
            </w:pPr>
          </w:p>
        </w:tc>
        <w:tc>
          <w:tcPr>
            <w:tcW w:w="993" w:type="dxa"/>
            <w:vMerge w:val="continue"/>
            <w:noWrap w:val="0"/>
            <w:vAlign w:val="center"/>
          </w:tcPr>
          <w:p w14:paraId="5643A3C9">
            <w:pPr>
              <w:spacing w:line="440" w:lineRule="exact"/>
              <w:jc w:val="center"/>
              <w:rPr>
                <w:rFonts w:ascii="仿宋" w:hAnsi="仿宋" w:eastAsia="仿宋"/>
                <w:sz w:val="24"/>
                <w:szCs w:val="24"/>
                <w:highlight w:val="none"/>
              </w:rPr>
            </w:pPr>
          </w:p>
        </w:tc>
        <w:tc>
          <w:tcPr>
            <w:tcW w:w="2180" w:type="dxa"/>
            <w:noWrap w:val="0"/>
            <w:vAlign w:val="center"/>
          </w:tcPr>
          <w:p w14:paraId="6BCBEEF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专业情况</w:t>
            </w:r>
          </w:p>
        </w:tc>
        <w:tc>
          <w:tcPr>
            <w:tcW w:w="2682" w:type="dxa"/>
            <w:noWrap w:val="0"/>
            <w:vAlign w:val="center"/>
          </w:tcPr>
          <w:p w14:paraId="75AD4856">
            <w:pPr>
              <w:spacing w:line="440" w:lineRule="exact"/>
              <w:jc w:val="center"/>
              <w:rPr>
                <w:rFonts w:hint="eastAsia" w:ascii="仿宋" w:hAnsi="仿宋" w:eastAsia="仿宋"/>
                <w:sz w:val="21"/>
                <w:szCs w:val="21"/>
                <w:highlight w:val="none"/>
              </w:rPr>
            </w:pPr>
            <w:r>
              <w:rPr>
                <w:rFonts w:hint="eastAsia" w:ascii="仿宋" w:hAnsi="仿宋" w:eastAsia="仿宋"/>
                <w:sz w:val="21"/>
                <w:szCs w:val="21"/>
                <w:highlight w:val="none"/>
              </w:rPr>
              <w:t>https://www.ayxy.edu.cn/zsxxw/</w:t>
            </w:r>
          </w:p>
        </w:tc>
      </w:tr>
      <w:tr w14:paraId="6B04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4" w:type="dxa"/>
            <w:vMerge w:val="continue"/>
            <w:noWrap w:val="0"/>
            <w:vAlign w:val="center"/>
          </w:tcPr>
          <w:p w14:paraId="59454F3A">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4ACDF739">
            <w:pPr>
              <w:spacing w:line="440" w:lineRule="exact"/>
              <w:jc w:val="center"/>
              <w:rPr>
                <w:rFonts w:ascii="仿宋" w:hAnsi="仿宋" w:eastAsia="仿宋"/>
                <w:sz w:val="24"/>
                <w:szCs w:val="24"/>
                <w:highlight w:val="none"/>
              </w:rPr>
            </w:pPr>
          </w:p>
        </w:tc>
        <w:tc>
          <w:tcPr>
            <w:tcW w:w="993" w:type="dxa"/>
            <w:vMerge w:val="continue"/>
            <w:noWrap w:val="0"/>
            <w:vAlign w:val="center"/>
          </w:tcPr>
          <w:p w14:paraId="7C564378">
            <w:pPr>
              <w:spacing w:line="440" w:lineRule="exact"/>
              <w:jc w:val="center"/>
              <w:rPr>
                <w:rFonts w:ascii="仿宋" w:hAnsi="仿宋" w:eastAsia="仿宋"/>
                <w:sz w:val="24"/>
                <w:szCs w:val="24"/>
                <w:highlight w:val="none"/>
              </w:rPr>
            </w:pPr>
          </w:p>
        </w:tc>
        <w:tc>
          <w:tcPr>
            <w:tcW w:w="2180" w:type="dxa"/>
            <w:noWrap w:val="0"/>
            <w:vAlign w:val="center"/>
          </w:tcPr>
          <w:p w14:paraId="70BFA5C9">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各类在校生情况</w:t>
            </w:r>
          </w:p>
        </w:tc>
        <w:tc>
          <w:tcPr>
            <w:tcW w:w="2682" w:type="dxa"/>
            <w:noWrap w:val="0"/>
            <w:vAlign w:val="center"/>
          </w:tcPr>
          <w:p w14:paraId="05AD1403">
            <w:pPr>
              <w:spacing w:line="440" w:lineRule="exact"/>
              <w:jc w:val="center"/>
              <w:rPr>
                <w:rFonts w:ascii="仿宋" w:hAnsi="仿宋" w:eastAsia="仿宋"/>
                <w:color w:val="auto"/>
                <w:sz w:val="24"/>
                <w:szCs w:val="24"/>
                <w:highlight w:val="none"/>
              </w:rPr>
            </w:pPr>
            <w:r>
              <w:rPr>
                <w:rFonts w:hint="eastAsia" w:ascii="仿宋" w:hAnsi="仿宋" w:eastAsia="仿宋"/>
                <w:color w:val="auto"/>
                <w:sz w:val="21"/>
                <w:szCs w:val="21"/>
                <w:highlight w:val="none"/>
              </w:rPr>
              <w:t>http://www.ayxy.edu.cn/zsxxw/</w:t>
            </w:r>
          </w:p>
        </w:tc>
      </w:tr>
      <w:tr w14:paraId="36D2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Merge w:val="continue"/>
            <w:noWrap w:val="0"/>
            <w:vAlign w:val="center"/>
          </w:tcPr>
          <w:p w14:paraId="5BC24AAD">
            <w:pPr>
              <w:spacing w:line="440" w:lineRule="exact"/>
              <w:jc w:val="center"/>
              <w:rPr>
                <w:rFonts w:ascii="仿宋" w:hAnsi="仿宋" w:eastAsia="仿宋"/>
                <w:b/>
                <w:bCs/>
                <w:sz w:val="24"/>
                <w:szCs w:val="24"/>
                <w:highlight w:val="none"/>
              </w:rPr>
            </w:pPr>
          </w:p>
        </w:tc>
        <w:tc>
          <w:tcPr>
            <w:tcW w:w="2244" w:type="dxa"/>
            <w:noWrap w:val="0"/>
            <w:vAlign w:val="center"/>
          </w:tcPr>
          <w:p w14:paraId="60D3DF2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2、学校章程及制定的各项规章制度</w:t>
            </w:r>
          </w:p>
        </w:tc>
        <w:tc>
          <w:tcPr>
            <w:tcW w:w="993" w:type="dxa"/>
            <w:noWrap w:val="0"/>
            <w:vAlign w:val="center"/>
          </w:tcPr>
          <w:p w14:paraId="4E4F5F5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w:t>
            </w:r>
          </w:p>
        </w:tc>
        <w:tc>
          <w:tcPr>
            <w:tcW w:w="2180" w:type="dxa"/>
            <w:noWrap w:val="0"/>
            <w:vAlign w:val="center"/>
          </w:tcPr>
          <w:p w14:paraId="7795D31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学校章程及制定的各项规章制度</w:t>
            </w:r>
          </w:p>
        </w:tc>
        <w:tc>
          <w:tcPr>
            <w:tcW w:w="2682" w:type="dxa"/>
            <w:noWrap w:val="0"/>
            <w:vAlign w:val="center"/>
          </w:tcPr>
          <w:p w14:paraId="55C289EB">
            <w:pPr>
              <w:spacing w:line="440" w:lineRule="exact"/>
              <w:jc w:val="center"/>
              <w:rPr>
                <w:rFonts w:hint="eastAsia" w:ascii="仿宋" w:hAnsi="仿宋" w:eastAsia="仿宋"/>
                <w:color w:val="auto"/>
                <w:sz w:val="24"/>
                <w:szCs w:val="24"/>
                <w:highlight w:val="none"/>
                <w:u w:val="single"/>
                <w:lang w:eastAsia="zh-CN"/>
              </w:rPr>
            </w:pPr>
            <w:r>
              <w:rPr>
                <w:rFonts w:hint="eastAsia" w:ascii="仿宋" w:hAnsi="仿宋" w:eastAsia="仿宋"/>
                <w:color w:val="auto"/>
                <w:sz w:val="18"/>
                <w:szCs w:val="18"/>
                <w:highlight w:val="none"/>
                <w:u w:val="single"/>
                <w:lang w:eastAsia="zh-CN"/>
              </w:rPr>
              <w:t>http://www.ayxy.edu.cn/?tdsourcetag=s_pcqq_aiomsg</w:t>
            </w:r>
          </w:p>
        </w:tc>
      </w:tr>
      <w:tr w14:paraId="758E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4" w:type="dxa"/>
            <w:vMerge w:val="continue"/>
            <w:noWrap w:val="0"/>
            <w:vAlign w:val="center"/>
          </w:tcPr>
          <w:p w14:paraId="3091806A">
            <w:pPr>
              <w:spacing w:line="440" w:lineRule="exact"/>
              <w:jc w:val="center"/>
              <w:rPr>
                <w:rFonts w:ascii="仿宋" w:hAnsi="仿宋" w:eastAsia="仿宋"/>
                <w:b/>
                <w:bCs/>
                <w:sz w:val="24"/>
                <w:szCs w:val="24"/>
                <w:highlight w:val="none"/>
              </w:rPr>
            </w:pPr>
          </w:p>
        </w:tc>
        <w:tc>
          <w:tcPr>
            <w:tcW w:w="2244" w:type="dxa"/>
            <w:noWrap w:val="0"/>
            <w:vAlign w:val="center"/>
          </w:tcPr>
          <w:p w14:paraId="3752DF2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3、教职工代表大会相关制度、工作报告</w:t>
            </w:r>
          </w:p>
        </w:tc>
        <w:tc>
          <w:tcPr>
            <w:tcW w:w="993" w:type="dxa"/>
            <w:noWrap w:val="0"/>
            <w:vAlign w:val="center"/>
          </w:tcPr>
          <w:p w14:paraId="0E721C74">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w:t>
            </w:r>
          </w:p>
        </w:tc>
        <w:tc>
          <w:tcPr>
            <w:tcW w:w="2180" w:type="dxa"/>
            <w:noWrap w:val="0"/>
            <w:vAlign w:val="center"/>
          </w:tcPr>
          <w:p w14:paraId="7654FE7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教职工代表大会相关制度、工作报告</w:t>
            </w:r>
          </w:p>
        </w:tc>
        <w:tc>
          <w:tcPr>
            <w:tcW w:w="2682" w:type="dxa"/>
            <w:noWrap w:val="0"/>
            <w:vAlign w:val="center"/>
          </w:tcPr>
          <w:p w14:paraId="14157028">
            <w:pPr>
              <w:spacing w:line="440" w:lineRule="exact"/>
              <w:jc w:val="center"/>
              <w:rPr>
                <w:rFonts w:ascii="仿宋" w:hAnsi="仿宋" w:eastAsia="仿宋"/>
                <w:color w:val="auto"/>
                <w:sz w:val="24"/>
                <w:szCs w:val="24"/>
                <w:highlight w:val="none"/>
              </w:rPr>
            </w:pPr>
            <w:r>
              <w:rPr>
                <w:rFonts w:hint="eastAsia" w:ascii="仿宋" w:hAnsi="仿宋" w:eastAsia="仿宋"/>
                <w:color w:val="auto"/>
                <w:sz w:val="21"/>
                <w:szCs w:val="21"/>
                <w:highlight w:val="none"/>
              </w:rPr>
              <w:t>http://www.ayxy.edu.cn/rs/channels/2377.html</w:t>
            </w:r>
          </w:p>
        </w:tc>
      </w:tr>
      <w:tr w14:paraId="6070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4" w:type="dxa"/>
            <w:vMerge w:val="continue"/>
            <w:noWrap w:val="0"/>
            <w:vAlign w:val="center"/>
          </w:tcPr>
          <w:p w14:paraId="2B19554E">
            <w:pPr>
              <w:spacing w:line="440" w:lineRule="exact"/>
              <w:jc w:val="center"/>
              <w:rPr>
                <w:rFonts w:ascii="仿宋" w:hAnsi="仿宋" w:eastAsia="仿宋"/>
                <w:b/>
                <w:bCs/>
                <w:sz w:val="24"/>
                <w:szCs w:val="24"/>
                <w:highlight w:val="none"/>
              </w:rPr>
            </w:pPr>
          </w:p>
        </w:tc>
        <w:tc>
          <w:tcPr>
            <w:tcW w:w="2244" w:type="dxa"/>
            <w:vMerge w:val="restart"/>
            <w:noWrap w:val="0"/>
            <w:vAlign w:val="center"/>
          </w:tcPr>
          <w:p w14:paraId="6691D5B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4、学术委员会相关制度、年度报告</w:t>
            </w:r>
          </w:p>
        </w:tc>
        <w:tc>
          <w:tcPr>
            <w:tcW w:w="993" w:type="dxa"/>
            <w:vMerge w:val="restart"/>
            <w:noWrap w:val="0"/>
            <w:vAlign w:val="center"/>
          </w:tcPr>
          <w:p w14:paraId="38858C2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w:t>
            </w:r>
          </w:p>
        </w:tc>
        <w:tc>
          <w:tcPr>
            <w:tcW w:w="2180" w:type="dxa"/>
            <w:noWrap w:val="0"/>
            <w:vAlign w:val="center"/>
          </w:tcPr>
          <w:p w14:paraId="09D725E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学术委员会相关制度</w:t>
            </w:r>
          </w:p>
        </w:tc>
        <w:tc>
          <w:tcPr>
            <w:tcW w:w="2682" w:type="dxa"/>
            <w:noWrap w:val="0"/>
            <w:vAlign w:val="center"/>
          </w:tcPr>
          <w:p w14:paraId="05CFB89C">
            <w:pPr>
              <w:spacing w:line="440" w:lineRule="exact"/>
              <w:jc w:val="center"/>
              <w:rPr>
                <w:rFonts w:ascii="仿宋" w:hAnsi="仿宋" w:eastAsia="仿宋"/>
                <w:color w:val="auto"/>
                <w:sz w:val="24"/>
                <w:szCs w:val="24"/>
                <w:highlight w:val="none"/>
              </w:rPr>
            </w:pPr>
            <w:r>
              <w:rPr>
                <w:rFonts w:hint="eastAsia" w:ascii="仿宋" w:hAnsi="仿宋" w:eastAsia="仿宋"/>
                <w:color w:val="auto"/>
                <w:sz w:val="21"/>
                <w:szCs w:val="21"/>
                <w:highlight w:val="none"/>
              </w:rPr>
              <w:t>http://www.ayxy.edu.cn/kyc/channels/1885.html</w:t>
            </w:r>
          </w:p>
        </w:tc>
      </w:tr>
      <w:tr w14:paraId="250A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4" w:type="dxa"/>
            <w:vMerge w:val="continue"/>
            <w:noWrap w:val="0"/>
            <w:vAlign w:val="center"/>
          </w:tcPr>
          <w:p w14:paraId="05A89762">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4CD31753">
            <w:pPr>
              <w:spacing w:line="440" w:lineRule="exact"/>
              <w:jc w:val="center"/>
              <w:rPr>
                <w:rFonts w:ascii="仿宋" w:hAnsi="仿宋" w:eastAsia="仿宋"/>
                <w:sz w:val="24"/>
                <w:szCs w:val="24"/>
                <w:highlight w:val="none"/>
              </w:rPr>
            </w:pPr>
          </w:p>
        </w:tc>
        <w:tc>
          <w:tcPr>
            <w:tcW w:w="993" w:type="dxa"/>
            <w:vMerge w:val="continue"/>
            <w:noWrap w:val="0"/>
            <w:vAlign w:val="center"/>
          </w:tcPr>
          <w:p w14:paraId="45DAF512">
            <w:pPr>
              <w:spacing w:line="440" w:lineRule="exact"/>
              <w:jc w:val="center"/>
              <w:rPr>
                <w:rFonts w:ascii="仿宋" w:hAnsi="仿宋" w:eastAsia="仿宋"/>
                <w:sz w:val="24"/>
                <w:szCs w:val="24"/>
                <w:highlight w:val="none"/>
              </w:rPr>
            </w:pPr>
          </w:p>
        </w:tc>
        <w:tc>
          <w:tcPr>
            <w:tcW w:w="2180" w:type="dxa"/>
            <w:noWrap w:val="0"/>
            <w:vAlign w:val="center"/>
          </w:tcPr>
          <w:p w14:paraId="08CC69B4">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年度报告</w:t>
            </w:r>
          </w:p>
        </w:tc>
        <w:tc>
          <w:tcPr>
            <w:tcW w:w="2682" w:type="dxa"/>
            <w:noWrap w:val="0"/>
            <w:vAlign w:val="center"/>
          </w:tcPr>
          <w:p w14:paraId="6D2C09EA">
            <w:pPr>
              <w:spacing w:line="440" w:lineRule="exact"/>
              <w:jc w:val="center"/>
              <w:rPr>
                <w:rFonts w:ascii="仿宋" w:hAnsi="仿宋" w:eastAsia="仿宋"/>
                <w:b/>
                <w:bCs/>
                <w:color w:val="auto"/>
                <w:sz w:val="24"/>
                <w:szCs w:val="24"/>
                <w:highlight w:val="none"/>
              </w:rPr>
            </w:pPr>
            <w:r>
              <w:rPr>
                <w:rFonts w:hint="eastAsia" w:ascii="仿宋" w:hAnsi="仿宋" w:eastAsia="仿宋"/>
                <w:color w:val="auto"/>
                <w:sz w:val="21"/>
                <w:szCs w:val="21"/>
                <w:highlight w:val="none"/>
              </w:rPr>
              <w:t>http://www.ayxy.edu.cn/kyc/channels/1885.html</w:t>
            </w:r>
          </w:p>
        </w:tc>
      </w:tr>
      <w:tr w14:paraId="4C72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04" w:type="dxa"/>
            <w:vMerge w:val="continue"/>
            <w:noWrap w:val="0"/>
            <w:vAlign w:val="center"/>
          </w:tcPr>
          <w:p w14:paraId="4471F888">
            <w:pPr>
              <w:spacing w:line="440" w:lineRule="exact"/>
              <w:jc w:val="center"/>
              <w:rPr>
                <w:rFonts w:ascii="仿宋" w:hAnsi="仿宋" w:eastAsia="仿宋"/>
                <w:b/>
                <w:bCs/>
                <w:sz w:val="24"/>
                <w:szCs w:val="24"/>
                <w:highlight w:val="none"/>
              </w:rPr>
            </w:pPr>
          </w:p>
        </w:tc>
        <w:tc>
          <w:tcPr>
            <w:tcW w:w="2244" w:type="dxa"/>
            <w:vMerge w:val="restart"/>
            <w:noWrap w:val="0"/>
            <w:vAlign w:val="center"/>
          </w:tcPr>
          <w:p w14:paraId="7B79E2F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5、学校发展规划、年度工作计划及重点工作安排</w:t>
            </w:r>
          </w:p>
        </w:tc>
        <w:tc>
          <w:tcPr>
            <w:tcW w:w="993" w:type="dxa"/>
            <w:noWrap w:val="0"/>
            <w:vAlign w:val="center"/>
          </w:tcPr>
          <w:p w14:paraId="3228AAF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w:t>
            </w:r>
          </w:p>
        </w:tc>
        <w:tc>
          <w:tcPr>
            <w:tcW w:w="2180" w:type="dxa"/>
            <w:noWrap w:val="0"/>
            <w:vAlign w:val="center"/>
          </w:tcPr>
          <w:p w14:paraId="4D308E3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学校发展规划</w:t>
            </w:r>
          </w:p>
        </w:tc>
        <w:tc>
          <w:tcPr>
            <w:tcW w:w="2682" w:type="dxa"/>
            <w:noWrap w:val="0"/>
            <w:vAlign w:val="center"/>
          </w:tcPr>
          <w:p w14:paraId="164AEED8">
            <w:pPr>
              <w:spacing w:line="440" w:lineRule="exact"/>
              <w:jc w:val="center"/>
              <w:rPr>
                <w:rFonts w:ascii="仿宋" w:hAnsi="仿宋" w:eastAsia="仿宋"/>
                <w:color w:val="auto"/>
                <w:sz w:val="24"/>
                <w:szCs w:val="24"/>
                <w:highlight w:val="none"/>
              </w:rPr>
            </w:pPr>
            <w:r>
              <w:rPr>
                <w:rFonts w:hint="eastAsia" w:ascii="仿宋" w:hAnsi="仿宋" w:eastAsia="仿宋"/>
                <w:color w:val="auto"/>
                <w:sz w:val="21"/>
                <w:szCs w:val="21"/>
                <w:highlight w:val="none"/>
              </w:rPr>
              <w:t>http://www.ayxy.edu.cn/pgb/channels/2042.html</w:t>
            </w:r>
          </w:p>
        </w:tc>
      </w:tr>
      <w:tr w14:paraId="6956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vMerge w:val="continue"/>
            <w:noWrap w:val="0"/>
            <w:vAlign w:val="center"/>
          </w:tcPr>
          <w:p w14:paraId="0C46B3BC">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16389BCC">
            <w:pPr>
              <w:spacing w:line="440" w:lineRule="exact"/>
              <w:jc w:val="center"/>
              <w:rPr>
                <w:rFonts w:ascii="仿宋" w:hAnsi="仿宋" w:eastAsia="仿宋"/>
                <w:sz w:val="24"/>
                <w:szCs w:val="24"/>
                <w:highlight w:val="none"/>
              </w:rPr>
            </w:pPr>
          </w:p>
        </w:tc>
        <w:tc>
          <w:tcPr>
            <w:tcW w:w="993" w:type="dxa"/>
            <w:noWrap w:val="0"/>
            <w:vAlign w:val="center"/>
          </w:tcPr>
          <w:p w14:paraId="24AF96B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（6）</w:t>
            </w:r>
          </w:p>
        </w:tc>
        <w:tc>
          <w:tcPr>
            <w:tcW w:w="2180" w:type="dxa"/>
            <w:noWrap w:val="0"/>
            <w:vAlign w:val="center"/>
          </w:tcPr>
          <w:p w14:paraId="47BA74B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年度工作计划及重点工作安排</w:t>
            </w:r>
          </w:p>
        </w:tc>
        <w:tc>
          <w:tcPr>
            <w:tcW w:w="2682" w:type="dxa"/>
            <w:noWrap w:val="0"/>
            <w:vAlign w:val="center"/>
          </w:tcPr>
          <w:p w14:paraId="246291D6">
            <w:pPr>
              <w:spacing w:line="440" w:lineRule="exact"/>
              <w:jc w:val="center"/>
              <w:rPr>
                <w:rFonts w:ascii="仿宋" w:hAnsi="仿宋" w:eastAsia="仿宋"/>
                <w:sz w:val="21"/>
                <w:szCs w:val="21"/>
                <w:highlight w:val="none"/>
              </w:rPr>
            </w:pPr>
            <w:r>
              <w:rPr>
                <w:rFonts w:hint="eastAsia" w:ascii="仿宋" w:hAnsi="仿宋" w:eastAsia="仿宋"/>
                <w:sz w:val="21"/>
                <w:szCs w:val="21"/>
                <w:highlight w:val="none"/>
              </w:rPr>
              <w:t>http://www.ayxy.edu.cn/pgb/channels/2042.html</w:t>
            </w:r>
          </w:p>
        </w:tc>
      </w:tr>
      <w:tr w14:paraId="7F03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04" w:type="dxa"/>
            <w:vMerge w:val="continue"/>
            <w:noWrap w:val="0"/>
            <w:vAlign w:val="center"/>
          </w:tcPr>
          <w:p w14:paraId="40FCA9EE">
            <w:pPr>
              <w:spacing w:line="440" w:lineRule="exact"/>
              <w:jc w:val="center"/>
              <w:rPr>
                <w:rFonts w:ascii="仿宋" w:hAnsi="仿宋" w:eastAsia="仿宋"/>
                <w:b/>
                <w:bCs/>
                <w:sz w:val="24"/>
                <w:szCs w:val="24"/>
                <w:highlight w:val="none"/>
              </w:rPr>
            </w:pPr>
          </w:p>
        </w:tc>
        <w:tc>
          <w:tcPr>
            <w:tcW w:w="2244" w:type="dxa"/>
            <w:noWrap w:val="0"/>
            <w:vAlign w:val="center"/>
          </w:tcPr>
          <w:p w14:paraId="35A43CD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6、信息公开年度报告</w:t>
            </w:r>
          </w:p>
        </w:tc>
        <w:tc>
          <w:tcPr>
            <w:tcW w:w="993" w:type="dxa"/>
            <w:noWrap w:val="0"/>
            <w:vAlign w:val="center"/>
          </w:tcPr>
          <w:p w14:paraId="7681E1E7">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（7）</w:t>
            </w:r>
          </w:p>
        </w:tc>
        <w:tc>
          <w:tcPr>
            <w:tcW w:w="2180" w:type="dxa"/>
            <w:noWrap w:val="0"/>
            <w:vAlign w:val="center"/>
          </w:tcPr>
          <w:p w14:paraId="3878F23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信息公开年度报告</w:t>
            </w:r>
          </w:p>
        </w:tc>
        <w:tc>
          <w:tcPr>
            <w:tcW w:w="2682" w:type="dxa"/>
            <w:noWrap w:val="0"/>
            <w:vAlign w:val="center"/>
          </w:tcPr>
          <w:p w14:paraId="570FE794">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http://www.ayxy.edu.cn/xxgkw/</w:t>
            </w:r>
          </w:p>
        </w:tc>
      </w:tr>
      <w:tr w14:paraId="647F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vMerge w:val="restart"/>
            <w:noWrap w:val="0"/>
            <w:vAlign w:val="center"/>
          </w:tcPr>
          <w:p w14:paraId="66C9194C">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二、招生考试信息</w:t>
            </w:r>
          </w:p>
        </w:tc>
        <w:tc>
          <w:tcPr>
            <w:tcW w:w="2244" w:type="dxa"/>
            <w:vMerge w:val="restart"/>
            <w:noWrap w:val="0"/>
            <w:vAlign w:val="center"/>
          </w:tcPr>
          <w:p w14:paraId="15003434">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7、招生章程及特殊类型招生办法，分批次、分科类招生计划</w:t>
            </w:r>
          </w:p>
        </w:tc>
        <w:tc>
          <w:tcPr>
            <w:tcW w:w="993" w:type="dxa"/>
            <w:noWrap w:val="0"/>
            <w:vAlign w:val="center"/>
          </w:tcPr>
          <w:p w14:paraId="7A9B725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（8）</w:t>
            </w:r>
          </w:p>
        </w:tc>
        <w:tc>
          <w:tcPr>
            <w:tcW w:w="2180" w:type="dxa"/>
            <w:noWrap w:val="0"/>
            <w:vAlign w:val="center"/>
          </w:tcPr>
          <w:p w14:paraId="08AF0E3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招生章程</w:t>
            </w:r>
          </w:p>
        </w:tc>
        <w:tc>
          <w:tcPr>
            <w:tcW w:w="2682" w:type="dxa"/>
            <w:noWrap w:val="0"/>
            <w:vAlign w:val="center"/>
          </w:tcPr>
          <w:p w14:paraId="471C5D2D">
            <w:pPr>
              <w:spacing w:line="440" w:lineRule="exact"/>
              <w:jc w:val="center"/>
              <w:rPr>
                <w:rFonts w:ascii="仿宋" w:hAnsi="仿宋" w:eastAsia="仿宋"/>
                <w:sz w:val="24"/>
                <w:szCs w:val="24"/>
                <w:highlight w:val="none"/>
              </w:rPr>
            </w:pPr>
            <w:r>
              <w:rPr>
                <w:rFonts w:hint="eastAsia" w:ascii="仿宋" w:hAnsi="仿宋" w:eastAsia="仿宋"/>
                <w:color w:val="000000"/>
                <w:sz w:val="21"/>
                <w:szCs w:val="21"/>
                <w:highlight w:val="none"/>
              </w:rPr>
              <w:t>http://www.ayxy.edu.cn/zsxxw/channels/3279.html</w:t>
            </w:r>
          </w:p>
        </w:tc>
      </w:tr>
      <w:tr w14:paraId="4B17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02A8AAAA">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45871DDE">
            <w:pPr>
              <w:spacing w:line="440" w:lineRule="exact"/>
              <w:jc w:val="center"/>
              <w:rPr>
                <w:rFonts w:ascii="仿宋" w:hAnsi="仿宋" w:eastAsia="仿宋"/>
                <w:sz w:val="24"/>
                <w:szCs w:val="24"/>
                <w:highlight w:val="none"/>
              </w:rPr>
            </w:pPr>
          </w:p>
        </w:tc>
        <w:tc>
          <w:tcPr>
            <w:tcW w:w="993" w:type="dxa"/>
            <w:noWrap w:val="0"/>
            <w:vAlign w:val="center"/>
          </w:tcPr>
          <w:p w14:paraId="2054211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（9）</w:t>
            </w:r>
          </w:p>
        </w:tc>
        <w:tc>
          <w:tcPr>
            <w:tcW w:w="2180" w:type="dxa"/>
            <w:noWrap w:val="0"/>
            <w:vAlign w:val="center"/>
          </w:tcPr>
          <w:p w14:paraId="77709F3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特殊类型招生办法</w:t>
            </w:r>
          </w:p>
        </w:tc>
        <w:tc>
          <w:tcPr>
            <w:tcW w:w="2682" w:type="dxa"/>
            <w:noWrap w:val="0"/>
            <w:vAlign w:val="center"/>
          </w:tcPr>
          <w:p w14:paraId="3852720C">
            <w:pPr>
              <w:spacing w:line="440" w:lineRule="exact"/>
              <w:jc w:val="center"/>
              <w:rPr>
                <w:rFonts w:ascii="仿宋" w:hAnsi="仿宋" w:eastAsia="仿宋"/>
                <w:color w:val="000000"/>
                <w:sz w:val="24"/>
                <w:szCs w:val="24"/>
                <w:highlight w:val="none"/>
              </w:rPr>
            </w:pPr>
            <w:r>
              <w:rPr>
                <w:rFonts w:hint="eastAsia" w:ascii="仿宋" w:hAnsi="仿宋" w:eastAsia="仿宋"/>
                <w:color w:val="000000"/>
                <w:sz w:val="21"/>
                <w:szCs w:val="21"/>
                <w:highlight w:val="none"/>
              </w:rPr>
              <w:t>http://www.ayxy.edu.cn/zsxxw/channels/3263.html</w:t>
            </w:r>
          </w:p>
        </w:tc>
      </w:tr>
      <w:tr w14:paraId="0190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333612A9">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7AC40DBC">
            <w:pPr>
              <w:spacing w:line="440" w:lineRule="exact"/>
              <w:jc w:val="center"/>
              <w:rPr>
                <w:rFonts w:ascii="仿宋" w:hAnsi="仿宋" w:eastAsia="仿宋"/>
                <w:sz w:val="24"/>
                <w:szCs w:val="24"/>
                <w:highlight w:val="none"/>
              </w:rPr>
            </w:pPr>
          </w:p>
        </w:tc>
        <w:tc>
          <w:tcPr>
            <w:tcW w:w="993" w:type="dxa"/>
            <w:noWrap w:val="0"/>
            <w:vAlign w:val="center"/>
          </w:tcPr>
          <w:p w14:paraId="017D1A1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（10）</w:t>
            </w:r>
          </w:p>
        </w:tc>
        <w:tc>
          <w:tcPr>
            <w:tcW w:w="2180" w:type="dxa"/>
            <w:noWrap w:val="0"/>
            <w:vAlign w:val="center"/>
          </w:tcPr>
          <w:p w14:paraId="7246761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分批次、分科类招生计划</w:t>
            </w:r>
          </w:p>
        </w:tc>
        <w:tc>
          <w:tcPr>
            <w:tcW w:w="2682" w:type="dxa"/>
            <w:noWrap w:val="0"/>
            <w:vAlign w:val="center"/>
          </w:tcPr>
          <w:p w14:paraId="5C2B9C02">
            <w:pPr>
              <w:spacing w:line="440" w:lineRule="exact"/>
              <w:jc w:val="center"/>
              <w:rPr>
                <w:rFonts w:ascii="仿宋" w:hAnsi="仿宋" w:eastAsia="仿宋"/>
                <w:color w:val="000000"/>
                <w:sz w:val="24"/>
                <w:szCs w:val="24"/>
                <w:highlight w:val="none"/>
              </w:rPr>
            </w:pPr>
            <w:r>
              <w:rPr>
                <w:rFonts w:hint="eastAsia" w:ascii="仿宋" w:hAnsi="仿宋" w:eastAsia="仿宋"/>
                <w:color w:val="000000"/>
                <w:sz w:val="21"/>
                <w:szCs w:val="21"/>
                <w:highlight w:val="none"/>
              </w:rPr>
              <w:t>http://www.ayxy.edu.cn/zsxxw/channels/3270.html</w:t>
            </w:r>
          </w:p>
        </w:tc>
      </w:tr>
      <w:tr w14:paraId="756B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4" w:type="dxa"/>
            <w:vMerge w:val="continue"/>
            <w:noWrap w:val="0"/>
            <w:vAlign w:val="center"/>
          </w:tcPr>
          <w:p w14:paraId="6FA81498">
            <w:pPr>
              <w:spacing w:line="440" w:lineRule="exact"/>
              <w:jc w:val="center"/>
              <w:rPr>
                <w:rFonts w:ascii="仿宋" w:hAnsi="仿宋" w:eastAsia="仿宋"/>
                <w:b/>
                <w:bCs/>
                <w:sz w:val="24"/>
                <w:szCs w:val="24"/>
                <w:highlight w:val="none"/>
              </w:rPr>
            </w:pPr>
          </w:p>
        </w:tc>
        <w:tc>
          <w:tcPr>
            <w:tcW w:w="2244" w:type="dxa"/>
            <w:noWrap w:val="0"/>
            <w:vAlign w:val="center"/>
          </w:tcPr>
          <w:p w14:paraId="110AB915">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8、保送、自主选拔录取、高水平运动员和艺术特长生招生等特殊类型招生入选考生资格及测试结果</w:t>
            </w:r>
          </w:p>
        </w:tc>
        <w:tc>
          <w:tcPr>
            <w:tcW w:w="993" w:type="dxa"/>
            <w:noWrap w:val="0"/>
            <w:vAlign w:val="center"/>
          </w:tcPr>
          <w:p w14:paraId="7B9E3C6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（11）</w:t>
            </w:r>
          </w:p>
        </w:tc>
        <w:tc>
          <w:tcPr>
            <w:tcW w:w="2180" w:type="dxa"/>
            <w:noWrap w:val="0"/>
            <w:vAlign w:val="center"/>
          </w:tcPr>
          <w:p w14:paraId="3DD4F35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保送、自主选拔录取、高水平运动员和艺术特长生招生等特殊类型招生入选考生资格及测试结果</w:t>
            </w:r>
          </w:p>
        </w:tc>
        <w:tc>
          <w:tcPr>
            <w:tcW w:w="2682" w:type="dxa"/>
            <w:noWrap w:val="0"/>
            <w:vAlign w:val="center"/>
          </w:tcPr>
          <w:p w14:paraId="02E575F5">
            <w:pPr>
              <w:spacing w:line="440" w:lineRule="exact"/>
              <w:jc w:val="center"/>
              <w:rPr>
                <w:rFonts w:hint="eastAsia" w:ascii="仿宋" w:hAnsi="仿宋" w:eastAsia="仿宋"/>
                <w:sz w:val="21"/>
                <w:szCs w:val="21"/>
                <w:highlight w:val="none"/>
              </w:rPr>
            </w:pPr>
            <w:r>
              <w:rPr>
                <w:rFonts w:hint="eastAsia" w:ascii="仿宋" w:hAnsi="仿宋" w:eastAsia="仿宋"/>
                <w:sz w:val="21"/>
                <w:szCs w:val="21"/>
                <w:highlight w:val="none"/>
              </w:rPr>
              <w:t>本校暂未涉及</w:t>
            </w:r>
          </w:p>
        </w:tc>
      </w:tr>
      <w:tr w14:paraId="2F60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4" w:type="dxa"/>
            <w:vMerge w:val="continue"/>
            <w:noWrap w:val="0"/>
            <w:vAlign w:val="center"/>
          </w:tcPr>
          <w:p w14:paraId="3473051D">
            <w:pPr>
              <w:spacing w:line="440" w:lineRule="exact"/>
              <w:jc w:val="center"/>
              <w:rPr>
                <w:rFonts w:ascii="仿宋" w:hAnsi="仿宋" w:eastAsia="仿宋"/>
                <w:b/>
                <w:bCs/>
                <w:sz w:val="24"/>
                <w:szCs w:val="24"/>
                <w:highlight w:val="none"/>
              </w:rPr>
            </w:pPr>
          </w:p>
        </w:tc>
        <w:tc>
          <w:tcPr>
            <w:tcW w:w="2244" w:type="dxa"/>
            <w:noWrap w:val="0"/>
            <w:vAlign w:val="center"/>
          </w:tcPr>
          <w:p w14:paraId="4F9287D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9、考生个人录取信息查询渠道和办法，分批次、分科类录取人数和录取最低分</w:t>
            </w:r>
          </w:p>
        </w:tc>
        <w:tc>
          <w:tcPr>
            <w:tcW w:w="993" w:type="dxa"/>
            <w:noWrap w:val="0"/>
            <w:vAlign w:val="center"/>
          </w:tcPr>
          <w:p w14:paraId="650EFAC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（12）</w:t>
            </w:r>
          </w:p>
        </w:tc>
        <w:tc>
          <w:tcPr>
            <w:tcW w:w="2180" w:type="dxa"/>
            <w:noWrap w:val="0"/>
            <w:vAlign w:val="center"/>
          </w:tcPr>
          <w:p w14:paraId="239AD2B5">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考生个人录取信息查询渠道和办法，分批次、分科类录取人数和录取最低分</w:t>
            </w:r>
          </w:p>
        </w:tc>
        <w:tc>
          <w:tcPr>
            <w:tcW w:w="2682" w:type="dxa"/>
            <w:noWrap w:val="0"/>
            <w:vAlign w:val="center"/>
          </w:tcPr>
          <w:p w14:paraId="1FF15CD0">
            <w:pPr>
              <w:spacing w:line="440" w:lineRule="exact"/>
              <w:jc w:val="center"/>
              <w:rPr>
                <w:rFonts w:ascii="仿宋" w:hAnsi="仿宋" w:eastAsia="仿宋"/>
                <w:color w:val="000000"/>
                <w:sz w:val="24"/>
                <w:szCs w:val="24"/>
                <w:highlight w:val="none"/>
              </w:rPr>
            </w:pPr>
            <w:r>
              <w:rPr>
                <w:rFonts w:hint="eastAsia" w:ascii="仿宋" w:hAnsi="仿宋" w:eastAsia="仿宋"/>
                <w:color w:val="000000"/>
                <w:sz w:val="21"/>
                <w:szCs w:val="21"/>
                <w:highlight w:val="none"/>
              </w:rPr>
              <w:t>http://cx.ayxy.edu.cn/gklqcx/</w:t>
            </w:r>
          </w:p>
        </w:tc>
      </w:tr>
      <w:tr w14:paraId="44C8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04" w:type="dxa"/>
            <w:vMerge w:val="continue"/>
            <w:noWrap w:val="0"/>
            <w:vAlign w:val="center"/>
          </w:tcPr>
          <w:p w14:paraId="0513B12A">
            <w:pPr>
              <w:spacing w:line="440" w:lineRule="exact"/>
              <w:jc w:val="center"/>
              <w:rPr>
                <w:rFonts w:ascii="仿宋" w:hAnsi="仿宋" w:eastAsia="仿宋"/>
                <w:b/>
                <w:bCs/>
                <w:sz w:val="24"/>
                <w:szCs w:val="24"/>
                <w:highlight w:val="none"/>
              </w:rPr>
            </w:pPr>
          </w:p>
        </w:tc>
        <w:tc>
          <w:tcPr>
            <w:tcW w:w="2244" w:type="dxa"/>
            <w:noWrap w:val="0"/>
            <w:vAlign w:val="center"/>
          </w:tcPr>
          <w:p w14:paraId="0596AB6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10、招生咨询及考生申诉渠道，新生复查期间有关举报、调查及处理结果</w:t>
            </w:r>
          </w:p>
        </w:tc>
        <w:tc>
          <w:tcPr>
            <w:tcW w:w="993" w:type="dxa"/>
            <w:noWrap w:val="0"/>
            <w:vAlign w:val="center"/>
          </w:tcPr>
          <w:p w14:paraId="25BA395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（13）</w:t>
            </w:r>
          </w:p>
        </w:tc>
        <w:tc>
          <w:tcPr>
            <w:tcW w:w="2180" w:type="dxa"/>
            <w:noWrap w:val="0"/>
            <w:vAlign w:val="center"/>
          </w:tcPr>
          <w:p w14:paraId="3A0F2EB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招生咨询及考生申诉渠道，新生复查期间有关举报、调查及处理结果</w:t>
            </w:r>
          </w:p>
        </w:tc>
        <w:tc>
          <w:tcPr>
            <w:tcW w:w="2682" w:type="dxa"/>
            <w:noWrap w:val="0"/>
            <w:vAlign w:val="center"/>
          </w:tcPr>
          <w:p w14:paraId="0C0DD0CB">
            <w:pPr>
              <w:spacing w:line="440" w:lineRule="exact"/>
              <w:jc w:val="center"/>
              <w:rPr>
                <w:rFonts w:hint="eastAsia" w:ascii="仿宋" w:hAnsi="仿宋" w:eastAsia="仿宋"/>
                <w:color w:val="000000"/>
                <w:sz w:val="21"/>
                <w:szCs w:val="21"/>
                <w:highlight w:val="none"/>
              </w:rPr>
            </w:pPr>
          </w:p>
          <w:p w14:paraId="79345153">
            <w:pPr>
              <w:spacing w:line="440" w:lineRule="exact"/>
              <w:jc w:val="center"/>
              <w:rPr>
                <w:rFonts w:ascii="仿宋" w:hAnsi="仿宋" w:eastAsia="仿宋"/>
                <w:color w:val="000000"/>
                <w:sz w:val="24"/>
                <w:szCs w:val="24"/>
                <w:highlight w:val="none"/>
              </w:rPr>
            </w:pPr>
            <w:r>
              <w:rPr>
                <w:rFonts w:hint="eastAsia" w:ascii="仿宋" w:hAnsi="仿宋" w:eastAsia="仿宋"/>
                <w:color w:val="000000"/>
                <w:sz w:val="21"/>
                <w:szCs w:val="21"/>
                <w:highlight w:val="none"/>
              </w:rPr>
              <w:t>http://www.ayxy.edu.cn/zsxxw/</w:t>
            </w:r>
          </w:p>
        </w:tc>
      </w:tr>
      <w:tr w14:paraId="2FC0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04" w:type="dxa"/>
            <w:vMerge w:val="continue"/>
            <w:noWrap w:val="0"/>
            <w:vAlign w:val="center"/>
          </w:tcPr>
          <w:p w14:paraId="53374C1C">
            <w:pPr>
              <w:spacing w:line="440" w:lineRule="exact"/>
              <w:jc w:val="center"/>
              <w:rPr>
                <w:rFonts w:ascii="仿宋" w:hAnsi="仿宋" w:eastAsia="仿宋"/>
                <w:b/>
                <w:bCs/>
                <w:sz w:val="24"/>
                <w:szCs w:val="24"/>
                <w:highlight w:val="none"/>
              </w:rPr>
            </w:pPr>
          </w:p>
        </w:tc>
        <w:tc>
          <w:tcPr>
            <w:tcW w:w="2244" w:type="dxa"/>
            <w:noWrap w:val="0"/>
            <w:vAlign w:val="center"/>
          </w:tcPr>
          <w:p w14:paraId="3B4DA99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11、研究生招生简章、招生专业目录、复试录取办法，各院（系、所）或学科、专业招收研究生人数</w:t>
            </w:r>
          </w:p>
        </w:tc>
        <w:tc>
          <w:tcPr>
            <w:tcW w:w="993" w:type="dxa"/>
            <w:noWrap w:val="0"/>
            <w:vAlign w:val="center"/>
          </w:tcPr>
          <w:p w14:paraId="32057879">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（14）</w:t>
            </w:r>
          </w:p>
        </w:tc>
        <w:tc>
          <w:tcPr>
            <w:tcW w:w="2180" w:type="dxa"/>
            <w:noWrap w:val="0"/>
            <w:vAlign w:val="center"/>
          </w:tcPr>
          <w:p w14:paraId="2FC643F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研究生招生简章、招生专业目录、复试录取办法，各院（系、所）或学科、专业招收研究生人数</w:t>
            </w:r>
          </w:p>
        </w:tc>
        <w:tc>
          <w:tcPr>
            <w:tcW w:w="2682" w:type="dxa"/>
            <w:noWrap w:val="0"/>
            <w:vAlign w:val="center"/>
          </w:tcPr>
          <w:p w14:paraId="26A943D7">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4219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4FC73D17">
            <w:pPr>
              <w:spacing w:line="440" w:lineRule="exact"/>
              <w:jc w:val="center"/>
              <w:rPr>
                <w:rFonts w:ascii="仿宋" w:hAnsi="仿宋" w:eastAsia="仿宋"/>
                <w:b/>
                <w:bCs/>
                <w:sz w:val="24"/>
                <w:szCs w:val="24"/>
                <w:highlight w:val="none"/>
              </w:rPr>
            </w:pPr>
          </w:p>
        </w:tc>
        <w:tc>
          <w:tcPr>
            <w:tcW w:w="2244" w:type="dxa"/>
            <w:noWrap w:val="0"/>
            <w:vAlign w:val="center"/>
          </w:tcPr>
          <w:p w14:paraId="5F97987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12、参加研究生复试的考生成绩</w:t>
            </w:r>
          </w:p>
        </w:tc>
        <w:tc>
          <w:tcPr>
            <w:tcW w:w="993" w:type="dxa"/>
            <w:noWrap w:val="0"/>
            <w:vAlign w:val="center"/>
          </w:tcPr>
          <w:p w14:paraId="1533B66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（15）</w:t>
            </w:r>
          </w:p>
        </w:tc>
        <w:tc>
          <w:tcPr>
            <w:tcW w:w="2180" w:type="dxa"/>
            <w:noWrap w:val="0"/>
            <w:vAlign w:val="center"/>
          </w:tcPr>
          <w:p w14:paraId="76DAB2C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参加研究生复试的考生成绩</w:t>
            </w:r>
          </w:p>
        </w:tc>
        <w:tc>
          <w:tcPr>
            <w:tcW w:w="2682" w:type="dxa"/>
            <w:noWrap w:val="0"/>
            <w:vAlign w:val="center"/>
          </w:tcPr>
          <w:p w14:paraId="102787B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5DE0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5C81FCA9">
            <w:pPr>
              <w:spacing w:line="440" w:lineRule="exact"/>
              <w:jc w:val="center"/>
              <w:rPr>
                <w:rFonts w:ascii="仿宋" w:hAnsi="仿宋" w:eastAsia="仿宋"/>
                <w:b/>
                <w:bCs/>
                <w:sz w:val="24"/>
                <w:szCs w:val="24"/>
                <w:highlight w:val="none"/>
              </w:rPr>
            </w:pPr>
          </w:p>
        </w:tc>
        <w:tc>
          <w:tcPr>
            <w:tcW w:w="2244" w:type="dxa"/>
            <w:noWrap w:val="0"/>
            <w:vAlign w:val="center"/>
          </w:tcPr>
          <w:p w14:paraId="2E80EFB9">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13、拟录取研究生名单</w:t>
            </w:r>
          </w:p>
        </w:tc>
        <w:tc>
          <w:tcPr>
            <w:tcW w:w="993" w:type="dxa"/>
            <w:noWrap w:val="0"/>
            <w:vAlign w:val="center"/>
          </w:tcPr>
          <w:p w14:paraId="5144D83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（16）</w:t>
            </w:r>
          </w:p>
        </w:tc>
        <w:tc>
          <w:tcPr>
            <w:tcW w:w="2180" w:type="dxa"/>
            <w:noWrap w:val="0"/>
            <w:vAlign w:val="center"/>
          </w:tcPr>
          <w:p w14:paraId="4EB52DA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拟录取研究生名单</w:t>
            </w:r>
          </w:p>
        </w:tc>
        <w:tc>
          <w:tcPr>
            <w:tcW w:w="2682" w:type="dxa"/>
            <w:noWrap w:val="0"/>
            <w:vAlign w:val="center"/>
          </w:tcPr>
          <w:p w14:paraId="6FF720E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6AC3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14431EFD">
            <w:pPr>
              <w:spacing w:line="440" w:lineRule="exact"/>
              <w:jc w:val="center"/>
              <w:rPr>
                <w:rFonts w:ascii="仿宋" w:hAnsi="仿宋" w:eastAsia="仿宋"/>
                <w:b/>
                <w:bCs/>
                <w:sz w:val="24"/>
                <w:szCs w:val="24"/>
                <w:highlight w:val="none"/>
              </w:rPr>
            </w:pPr>
          </w:p>
        </w:tc>
        <w:tc>
          <w:tcPr>
            <w:tcW w:w="2244" w:type="dxa"/>
            <w:noWrap w:val="0"/>
            <w:vAlign w:val="center"/>
          </w:tcPr>
          <w:p w14:paraId="56A07A7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14、研究生招生咨询及申诉渠道</w:t>
            </w:r>
          </w:p>
        </w:tc>
        <w:tc>
          <w:tcPr>
            <w:tcW w:w="993" w:type="dxa"/>
            <w:noWrap w:val="0"/>
            <w:vAlign w:val="center"/>
          </w:tcPr>
          <w:p w14:paraId="59988D4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（17）</w:t>
            </w:r>
          </w:p>
        </w:tc>
        <w:tc>
          <w:tcPr>
            <w:tcW w:w="2180" w:type="dxa"/>
            <w:noWrap w:val="0"/>
            <w:vAlign w:val="center"/>
          </w:tcPr>
          <w:p w14:paraId="71FF061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研究生招生咨询及申诉渠道</w:t>
            </w:r>
          </w:p>
        </w:tc>
        <w:tc>
          <w:tcPr>
            <w:tcW w:w="2682" w:type="dxa"/>
            <w:noWrap w:val="0"/>
            <w:vAlign w:val="center"/>
          </w:tcPr>
          <w:p w14:paraId="5416619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4BE4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04" w:type="dxa"/>
            <w:vMerge w:val="restart"/>
            <w:noWrap w:val="0"/>
            <w:vAlign w:val="center"/>
          </w:tcPr>
          <w:p w14:paraId="3DA4EF32">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三、财务、资产及收费信息</w:t>
            </w:r>
          </w:p>
        </w:tc>
        <w:tc>
          <w:tcPr>
            <w:tcW w:w="2244" w:type="dxa"/>
            <w:noWrap w:val="0"/>
            <w:vAlign w:val="center"/>
          </w:tcPr>
          <w:p w14:paraId="0962DCE4">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15、财务管理制度、资产管理制度</w:t>
            </w:r>
          </w:p>
        </w:tc>
        <w:tc>
          <w:tcPr>
            <w:tcW w:w="993" w:type="dxa"/>
            <w:noWrap w:val="0"/>
            <w:vAlign w:val="center"/>
          </w:tcPr>
          <w:p w14:paraId="22E3F2F3">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（18）</w:t>
            </w:r>
          </w:p>
          <w:p w14:paraId="1EC7982D">
            <w:pPr>
              <w:spacing w:line="420" w:lineRule="exact"/>
              <w:jc w:val="center"/>
              <w:rPr>
                <w:rFonts w:ascii="仿宋" w:hAnsi="仿宋" w:eastAsia="仿宋"/>
                <w:sz w:val="24"/>
                <w:szCs w:val="24"/>
                <w:highlight w:val="none"/>
              </w:rPr>
            </w:pPr>
          </w:p>
        </w:tc>
        <w:tc>
          <w:tcPr>
            <w:tcW w:w="2180" w:type="dxa"/>
            <w:noWrap w:val="0"/>
            <w:vAlign w:val="center"/>
          </w:tcPr>
          <w:p w14:paraId="215568D8">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财务管理制度、资产管理制度</w:t>
            </w:r>
          </w:p>
        </w:tc>
        <w:tc>
          <w:tcPr>
            <w:tcW w:w="2682" w:type="dxa"/>
            <w:noWrap w:val="0"/>
            <w:vAlign w:val="center"/>
          </w:tcPr>
          <w:p w14:paraId="526AEF25">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http://www.ayxy.edu.cn/channels/38.html</w:t>
            </w:r>
          </w:p>
        </w:tc>
      </w:tr>
      <w:tr w14:paraId="5B49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6F176A6F">
            <w:pPr>
              <w:spacing w:line="440" w:lineRule="exact"/>
              <w:jc w:val="center"/>
              <w:rPr>
                <w:rFonts w:ascii="仿宋" w:hAnsi="仿宋" w:eastAsia="仿宋"/>
                <w:b/>
                <w:bCs/>
                <w:sz w:val="24"/>
                <w:szCs w:val="24"/>
                <w:highlight w:val="none"/>
              </w:rPr>
            </w:pPr>
          </w:p>
        </w:tc>
        <w:tc>
          <w:tcPr>
            <w:tcW w:w="2244" w:type="dxa"/>
            <w:noWrap w:val="0"/>
            <w:vAlign w:val="center"/>
          </w:tcPr>
          <w:p w14:paraId="79B83A5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16、受捐赠财产的使用与管理情况</w:t>
            </w:r>
          </w:p>
        </w:tc>
        <w:tc>
          <w:tcPr>
            <w:tcW w:w="993" w:type="dxa"/>
            <w:noWrap w:val="0"/>
            <w:vAlign w:val="center"/>
          </w:tcPr>
          <w:p w14:paraId="293F771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（19）</w:t>
            </w:r>
          </w:p>
        </w:tc>
        <w:tc>
          <w:tcPr>
            <w:tcW w:w="2180" w:type="dxa"/>
            <w:noWrap w:val="0"/>
            <w:vAlign w:val="center"/>
          </w:tcPr>
          <w:p w14:paraId="33735A8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受捐赠财产的使用与管理情况</w:t>
            </w:r>
          </w:p>
        </w:tc>
        <w:tc>
          <w:tcPr>
            <w:tcW w:w="2682" w:type="dxa"/>
            <w:noWrap w:val="0"/>
            <w:vAlign w:val="center"/>
          </w:tcPr>
          <w:p w14:paraId="5827EA8B">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http://www.ayxy.edu.cn/channels/38.html</w:t>
            </w:r>
          </w:p>
        </w:tc>
      </w:tr>
      <w:tr w14:paraId="510B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4" w:type="dxa"/>
            <w:vMerge w:val="continue"/>
            <w:noWrap w:val="0"/>
            <w:vAlign w:val="center"/>
          </w:tcPr>
          <w:p w14:paraId="08301AD3">
            <w:pPr>
              <w:spacing w:line="440" w:lineRule="exact"/>
              <w:jc w:val="center"/>
              <w:rPr>
                <w:rFonts w:ascii="仿宋" w:hAnsi="仿宋" w:eastAsia="仿宋"/>
                <w:b/>
                <w:bCs/>
                <w:sz w:val="24"/>
                <w:szCs w:val="24"/>
                <w:highlight w:val="none"/>
              </w:rPr>
            </w:pPr>
          </w:p>
        </w:tc>
        <w:tc>
          <w:tcPr>
            <w:tcW w:w="2244" w:type="dxa"/>
            <w:noWrap w:val="0"/>
            <w:vAlign w:val="center"/>
          </w:tcPr>
          <w:p w14:paraId="5CDF59E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17、校办企业资产、负债、国有资产保值增值等信息</w:t>
            </w:r>
          </w:p>
        </w:tc>
        <w:tc>
          <w:tcPr>
            <w:tcW w:w="993" w:type="dxa"/>
            <w:noWrap w:val="0"/>
            <w:vAlign w:val="center"/>
          </w:tcPr>
          <w:p w14:paraId="52C1D50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（20）</w:t>
            </w:r>
          </w:p>
        </w:tc>
        <w:tc>
          <w:tcPr>
            <w:tcW w:w="2180" w:type="dxa"/>
            <w:noWrap w:val="0"/>
            <w:vAlign w:val="center"/>
          </w:tcPr>
          <w:p w14:paraId="5CFF0CC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校办企业资产、负债、国有资产保值增值等信息</w:t>
            </w:r>
          </w:p>
        </w:tc>
        <w:tc>
          <w:tcPr>
            <w:tcW w:w="2682" w:type="dxa"/>
            <w:noWrap w:val="0"/>
            <w:vAlign w:val="center"/>
          </w:tcPr>
          <w:p w14:paraId="7300DDE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0541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594EE513">
            <w:pPr>
              <w:spacing w:line="440" w:lineRule="exact"/>
              <w:jc w:val="center"/>
              <w:rPr>
                <w:rFonts w:ascii="仿宋" w:hAnsi="仿宋" w:eastAsia="仿宋"/>
                <w:b/>
                <w:bCs/>
                <w:sz w:val="24"/>
                <w:szCs w:val="24"/>
                <w:highlight w:val="none"/>
              </w:rPr>
            </w:pPr>
          </w:p>
        </w:tc>
        <w:tc>
          <w:tcPr>
            <w:tcW w:w="2244" w:type="dxa"/>
            <w:vMerge w:val="restart"/>
            <w:noWrap w:val="0"/>
            <w:vAlign w:val="center"/>
          </w:tcPr>
          <w:p w14:paraId="0ED133A5">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18、仪器设备采购、图书采购、药品采购、重大基建工程的招投标</w:t>
            </w:r>
          </w:p>
        </w:tc>
        <w:tc>
          <w:tcPr>
            <w:tcW w:w="993" w:type="dxa"/>
            <w:noWrap w:val="0"/>
            <w:vAlign w:val="center"/>
          </w:tcPr>
          <w:p w14:paraId="0464377D">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（21）</w:t>
            </w:r>
          </w:p>
        </w:tc>
        <w:tc>
          <w:tcPr>
            <w:tcW w:w="2180" w:type="dxa"/>
            <w:noWrap w:val="0"/>
            <w:vAlign w:val="center"/>
          </w:tcPr>
          <w:p w14:paraId="3166DAE4">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仪器设备采购</w:t>
            </w:r>
          </w:p>
        </w:tc>
        <w:tc>
          <w:tcPr>
            <w:tcW w:w="2682" w:type="dxa"/>
            <w:noWrap w:val="0"/>
            <w:vAlign w:val="center"/>
          </w:tcPr>
          <w:p w14:paraId="3B071972">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http://www.ayxy.edu.cn/zcc/</w:t>
            </w:r>
          </w:p>
        </w:tc>
      </w:tr>
      <w:tr w14:paraId="5000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21F174C2">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3909C17F">
            <w:pPr>
              <w:spacing w:line="420" w:lineRule="exact"/>
              <w:jc w:val="center"/>
              <w:rPr>
                <w:rFonts w:ascii="仿宋" w:hAnsi="仿宋" w:eastAsia="仿宋"/>
                <w:sz w:val="24"/>
                <w:szCs w:val="24"/>
                <w:highlight w:val="none"/>
              </w:rPr>
            </w:pPr>
          </w:p>
        </w:tc>
        <w:tc>
          <w:tcPr>
            <w:tcW w:w="993" w:type="dxa"/>
            <w:noWrap w:val="0"/>
            <w:vAlign w:val="center"/>
          </w:tcPr>
          <w:p w14:paraId="1B3751FD">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（22）</w:t>
            </w:r>
          </w:p>
        </w:tc>
        <w:tc>
          <w:tcPr>
            <w:tcW w:w="2180" w:type="dxa"/>
            <w:noWrap w:val="0"/>
            <w:vAlign w:val="center"/>
          </w:tcPr>
          <w:p w14:paraId="24778ACA">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图书采购</w:t>
            </w:r>
          </w:p>
        </w:tc>
        <w:tc>
          <w:tcPr>
            <w:tcW w:w="2682" w:type="dxa"/>
            <w:noWrap w:val="0"/>
            <w:vAlign w:val="center"/>
          </w:tcPr>
          <w:p w14:paraId="5CEC09DA">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http://www.ayxy.edu.cn/channels/38.html</w:t>
            </w:r>
          </w:p>
        </w:tc>
      </w:tr>
      <w:tr w14:paraId="5570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538A6E7E">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0865E92C">
            <w:pPr>
              <w:spacing w:line="420" w:lineRule="exact"/>
              <w:jc w:val="center"/>
              <w:rPr>
                <w:rFonts w:ascii="仿宋" w:hAnsi="仿宋" w:eastAsia="仿宋"/>
                <w:sz w:val="24"/>
                <w:szCs w:val="24"/>
                <w:highlight w:val="none"/>
              </w:rPr>
            </w:pPr>
          </w:p>
        </w:tc>
        <w:tc>
          <w:tcPr>
            <w:tcW w:w="993" w:type="dxa"/>
            <w:noWrap w:val="0"/>
            <w:vAlign w:val="center"/>
          </w:tcPr>
          <w:p w14:paraId="1D86A8FB">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（23）</w:t>
            </w:r>
          </w:p>
        </w:tc>
        <w:tc>
          <w:tcPr>
            <w:tcW w:w="2180" w:type="dxa"/>
            <w:noWrap w:val="0"/>
            <w:vAlign w:val="center"/>
          </w:tcPr>
          <w:p w14:paraId="2C19A210">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药品采购</w:t>
            </w:r>
          </w:p>
        </w:tc>
        <w:tc>
          <w:tcPr>
            <w:tcW w:w="2682" w:type="dxa"/>
            <w:noWrap w:val="0"/>
            <w:vAlign w:val="center"/>
          </w:tcPr>
          <w:p w14:paraId="5F75B5F1">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http://www.ayxy.edu.cn/channels/38.html</w:t>
            </w:r>
          </w:p>
        </w:tc>
      </w:tr>
      <w:tr w14:paraId="0AEA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vMerge w:val="continue"/>
            <w:noWrap w:val="0"/>
            <w:vAlign w:val="center"/>
          </w:tcPr>
          <w:p w14:paraId="14D7AD2F">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12C3B071">
            <w:pPr>
              <w:spacing w:line="420" w:lineRule="exact"/>
              <w:jc w:val="center"/>
              <w:rPr>
                <w:rFonts w:ascii="仿宋" w:hAnsi="仿宋" w:eastAsia="仿宋"/>
                <w:sz w:val="24"/>
                <w:szCs w:val="24"/>
                <w:highlight w:val="none"/>
              </w:rPr>
            </w:pPr>
          </w:p>
        </w:tc>
        <w:tc>
          <w:tcPr>
            <w:tcW w:w="993" w:type="dxa"/>
            <w:noWrap w:val="0"/>
            <w:vAlign w:val="center"/>
          </w:tcPr>
          <w:p w14:paraId="131B9CB2">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（24）</w:t>
            </w:r>
          </w:p>
        </w:tc>
        <w:tc>
          <w:tcPr>
            <w:tcW w:w="2180" w:type="dxa"/>
            <w:noWrap w:val="0"/>
            <w:vAlign w:val="center"/>
          </w:tcPr>
          <w:p w14:paraId="1220F82F">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重大基建工程的招投标</w:t>
            </w:r>
          </w:p>
        </w:tc>
        <w:tc>
          <w:tcPr>
            <w:tcW w:w="2682" w:type="dxa"/>
            <w:noWrap w:val="0"/>
            <w:vAlign w:val="center"/>
          </w:tcPr>
          <w:p w14:paraId="440CA990">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http://www.ayxy.edu.cn/channels/38.html</w:t>
            </w:r>
          </w:p>
        </w:tc>
      </w:tr>
      <w:tr w14:paraId="138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4" w:type="dxa"/>
            <w:vMerge w:val="continue"/>
            <w:noWrap w:val="0"/>
            <w:vAlign w:val="center"/>
          </w:tcPr>
          <w:p w14:paraId="75785360">
            <w:pPr>
              <w:spacing w:line="440" w:lineRule="exact"/>
              <w:jc w:val="center"/>
              <w:rPr>
                <w:rFonts w:ascii="仿宋" w:hAnsi="仿宋" w:eastAsia="仿宋"/>
                <w:b/>
                <w:bCs/>
                <w:sz w:val="24"/>
                <w:szCs w:val="24"/>
                <w:highlight w:val="none"/>
              </w:rPr>
            </w:pPr>
          </w:p>
        </w:tc>
        <w:tc>
          <w:tcPr>
            <w:tcW w:w="2244" w:type="dxa"/>
            <w:noWrap w:val="0"/>
            <w:vAlign w:val="center"/>
          </w:tcPr>
          <w:p w14:paraId="17CB8E0C">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19、收支预算总表、收入预算表、支出预算表、财政拨款支出预算表</w:t>
            </w:r>
          </w:p>
        </w:tc>
        <w:tc>
          <w:tcPr>
            <w:tcW w:w="993" w:type="dxa"/>
            <w:noWrap w:val="0"/>
            <w:vAlign w:val="center"/>
          </w:tcPr>
          <w:p w14:paraId="287B37F3">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（25）</w:t>
            </w:r>
          </w:p>
        </w:tc>
        <w:tc>
          <w:tcPr>
            <w:tcW w:w="2180" w:type="dxa"/>
            <w:noWrap w:val="0"/>
            <w:vAlign w:val="center"/>
          </w:tcPr>
          <w:p w14:paraId="19562B0F">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收支预算总表、收入预算表、支出预算表、财政拨款支出预算表</w:t>
            </w:r>
          </w:p>
        </w:tc>
        <w:tc>
          <w:tcPr>
            <w:tcW w:w="2682" w:type="dxa"/>
            <w:noWrap w:val="0"/>
            <w:vAlign w:val="center"/>
          </w:tcPr>
          <w:p w14:paraId="334B4909">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http://www.ayxy.edu.cn/cwc/</w:t>
            </w:r>
          </w:p>
        </w:tc>
      </w:tr>
      <w:tr w14:paraId="0C0E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4" w:type="dxa"/>
            <w:vMerge w:val="continue"/>
            <w:noWrap w:val="0"/>
            <w:vAlign w:val="center"/>
          </w:tcPr>
          <w:p w14:paraId="76CB78A6">
            <w:pPr>
              <w:spacing w:line="440" w:lineRule="exact"/>
              <w:jc w:val="center"/>
              <w:rPr>
                <w:rFonts w:ascii="仿宋" w:hAnsi="仿宋" w:eastAsia="仿宋"/>
                <w:b/>
                <w:bCs/>
                <w:sz w:val="24"/>
                <w:szCs w:val="24"/>
                <w:highlight w:val="none"/>
              </w:rPr>
            </w:pPr>
          </w:p>
        </w:tc>
        <w:tc>
          <w:tcPr>
            <w:tcW w:w="2244" w:type="dxa"/>
            <w:noWrap w:val="0"/>
            <w:vAlign w:val="center"/>
          </w:tcPr>
          <w:p w14:paraId="30FBAE7B">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20、收支决算总表、收入决算表、支出决算表、财政拨款支出决算表</w:t>
            </w:r>
          </w:p>
        </w:tc>
        <w:tc>
          <w:tcPr>
            <w:tcW w:w="993" w:type="dxa"/>
            <w:noWrap w:val="0"/>
            <w:vAlign w:val="center"/>
          </w:tcPr>
          <w:p w14:paraId="7C037B52">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（26）</w:t>
            </w:r>
          </w:p>
        </w:tc>
        <w:tc>
          <w:tcPr>
            <w:tcW w:w="2180" w:type="dxa"/>
            <w:noWrap w:val="0"/>
            <w:vAlign w:val="center"/>
          </w:tcPr>
          <w:p w14:paraId="482F124F">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收支决算总表、收入决算表、支出决算表、财政拨款支出决算表</w:t>
            </w:r>
          </w:p>
        </w:tc>
        <w:tc>
          <w:tcPr>
            <w:tcW w:w="2682" w:type="dxa"/>
            <w:noWrap w:val="0"/>
            <w:vAlign w:val="center"/>
          </w:tcPr>
          <w:p w14:paraId="58B379B2">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http://www.ayxy.edu.cn/cwc/</w:t>
            </w:r>
          </w:p>
        </w:tc>
      </w:tr>
      <w:tr w14:paraId="2F79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4" w:type="dxa"/>
            <w:vMerge w:val="continue"/>
            <w:noWrap w:val="0"/>
            <w:vAlign w:val="center"/>
          </w:tcPr>
          <w:p w14:paraId="27C2804E">
            <w:pPr>
              <w:spacing w:line="440" w:lineRule="exact"/>
              <w:jc w:val="center"/>
              <w:rPr>
                <w:rFonts w:ascii="仿宋" w:hAnsi="仿宋" w:eastAsia="仿宋"/>
                <w:b/>
                <w:bCs/>
                <w:sz w:val="24"/>
                <w:szCs w:val="24"/>
                <w:highlight w:val="none"/>
              </w:rPr>
            </w:pPr>
          </w:p>
        </w:tc>
        <w:tc>
          <w:tcPr>
            <w:tcW w:w="2244" w:type="dxa"/>
            <w:noWrap w:val="0"/>
            <w:vAlign w:val="center"/>
          </w:tcPr>
          <w:p w14:paraId="36CF8046">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21、收费项目、收费依据、收费标准及投诉方式</w:t>
            </w:r>
          </w:p>
        </w:tc>
        <w:tc>
          <w:tcPr>
            <w:tcW w:w="993" w:type="dxa"/>
            <w:noWrap w:val="0"/>
            <w:vAlign w:val="center"/>
          </w:tcPr>
          <w:p w14:paraId="7D105469">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（27）</w:t>
            </w:r>
          </w:p>
        </w:tc>
        <w:tc>
          <w:tcPr>
            <w:tcW w:w="2180" w:type="dxa"/>
            <w:noWrap w:val="0"/>
            <w:vAlign w:val="center"/>
          </w:tcPr>
          <w:p w14:paraId="42479CFE">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收费项目、收费依据、收费标准及投诉方式</w:t>
            </w:r>
          </w:p>
        </w:tc>
        <w:tc>
          <w:tcPr>
            <w:tcW w:w="2682" w:type="dxa"/>
            <w:noWrap w:val="0"/>
            <w:vAlign w:val="center"/>
          </w:tcPr>
          <w:p w14:paraId="2E2034F9">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http://www.ayxy.edu.cn/cwc/</w:t>
            </w:r>
          </w:p>
        </w:tc>
      </w:tr>
      <w:tr w14:paraId="4E4B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restart"/>
            <w:noWrap w:val="0"/>
            <w:vAlign w:val="center"/>
          </w:tcPr>
          <w:p w14:paraId="0B38A748">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四、人事师资信息</w:t>
            </w:r>
          </w:p>
        </w:tc>
        <w:tc>
          <w:tcPr>
            <w:tcW w:w="2244" w:type="dxa"/>
            <w:noWrap w:val="0"/>
            <w:vAlign w:val="center"/>
          </w:tcPr>
          <w:p w14:paraId="2A23DC51">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22、校级领导干部社会兼职情况</w:t>
            </w:r>
          </w:p>
        </w:tc>
        <w:tc>
          <w:tcPr>
            <w:tcW w:w="993" w:type="dxa"/>
            <w:noWrap w:val="0"/>
            <w:vAlign w:val="center"/>
          </w:tcPr>
          <w:p w14:paraId="558A1322">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（28）</w:t>
            </w:r>
          </w:p>
        </w:tc>
        <w:tc>
          <w:tcPr>
            <w:tcW w:w="2180" w:type="dxa"/>
            <w:noWrap w:val="0"/>
            <w:vAlign w:val="center"/>
          </w:tcPr>
          <w:p w14:paraId="1E852CB6">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校级领导干部社会兼职情况</w:t>
            </w:r>
          </w:p>
        </w:tc>
        <w:tc>
          <w:tcPr>
            <w:tcW w:w="2682" w:type="dxa"/>
            <w:noWrap w:val="0"/>
            <w:vAlign w:val="center"/>
          </w:tcPr>
          <w:p w14:paraId="79A80631">
            <w:pPr>
              <w:spacing w:line="420" w:lineRule="exact"/>
              <w:jc w:val="center"/>
              <w:rPr>
                <w:rFonts w:ascii="仿宋" w:hAnsi="仿宋" w:eastAsia="仿宋"/>
                <w:b/>
                <w:bCs/>
                <w:sz w:val="24"/>
                <w:szCs w:val="24"/>
                <w:highlight w:val="none"/>
              </w:rPr>
            </w:pPr>
            <w:r>
              <w:rPr>
                <w:rFonts w:hint="eastAsia" w:ascii="仿宋" w:hAnsi="仿宋" w:eastAsia="仿宋"/>
                <w:sz w:val="24"/>
                <w:szCs w:val="24"/>
                <w:highlight w:val="none"/>
              </w:rPr>
              <w:t>本校暂未涉及</w:t>
            </w:r>
          </w:p>
        </w:tc>
      </w:tr>
      <w:tr w14:paraId="5704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32B70254">
            <w:pPr>
              <w:spacing w:line="440" w:lineRule="exact"/>
              <w:jc w:val="center"/>
              <w:rPr>
                <w:rFonts w:ascii="仿宋" w:hAnsi="仿宋" w:eastAsia="仿宋"/>
                <w:b/>
                <w:bCs/>
                <w:sz w:val="24"/>
                <w:szCs w:val="24"/>
                <w:highlight w:val="none"/>
              </w:rPr>
            </w:pPr>
          </w:p>
        </w:tc>
        <w:tc>
          <w:tcPr>
            <w:tcW w:w="2244" w:type="dxa"/>
            <w:noWrap w:val="0"/>
            <w:vAlign w:val="center"/>
          </w:tcPr>
          <w:p w14:paraId="2EDF926C">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23、校级领导干部因公出国（境）情况</w:t>
            </w:r>
          </w:p>
        </w:tc>
        <w:tc>
          <w:tcPr>
            <w:tcW w:w="993" w:type="dxa"/>
            <w:noWrap w:val="0"/>
            <w:vAlign w:val="center"/>
          </w:tcPr>
          <w:p w14:paraId="7461255A">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（29）</w:t>
            </w:r>
          </w:p>
        </w:tc>
        <w:tc>
          <w:tcPr>
            <w:tcW w:w="2180" w:type="dxa"/>
            <w:noWrap w:val="0"/>
            <w:vAlign w:val="center"/>
          </w:tcPr>
          <w:p w14:paraId="5B5D5024">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校级领导干部因公出国（境）情况</w:t>
            </w:r>
          </w:p>
        </w:tc>
        <w:tc>
          <w:tcPr>
            <w:tcW w:w="2682" w:type="dxa"/>
            <w:noWrap w:val="0"/>
            <w:vAlign w:val="center"/>
          </w:tcPr>
          <w:p w14:paraId="7659EF00">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6785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197C4366">
            <w:pPr>
              <w:spacing w:line="440" w:lineRule="exact"/>
              <w:jc w:val="center"/>
              <w:rPr>
                <w:rFonts w:ascii="仿宋" w:hAnsi="仿宋" w:eastAsia="仿宋"/>
                <w:b/>
                <w:bCs/>
                <w:sz w:val="24"/>
                <w:szCs w:val="24"/>
                <w:highlight w:val="none"/>
              </w:rPr>
            </w:pPr>
          </w:p>
        </w:tc>
        <w:tc>
          <w:tcPr>
            <w:tcW w:w="2244" w:type="dxa"/>
            <w:noWrap w:val="0"/>
            <w:vAlign w:val="center"/>
          </w:tcPr>
          <w:p w14:paraId="34CE9E56">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24、岗位设置管理与聘用办法</w:t>
            </w:r>
          </w:p>
        </w:tc>
        <w:tc>
          <w:tcPr>
            <w:tcW w:w="993" w:type="dxa"/>
            <w:noWrap w:val="0"/>
            <w:vAlign w:val="center"/>
          </w:tcPr>
          <w:p w14:paraId="26DFC38E">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（30）</w:t>
            </w:r>
          </w:p>
        </w:tc>
        <w:tc>
          <w:tcPr>
            <w:tcW w:w="2180" w:type="dxa"/>
            <w:noWrap w:val="0"/>
            <w:vAlign w:val="center"/>
          </w:tcPr>
          <w:p w14:paraId="2FD98D96">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岗位设置管理与聘用办法</w:t>
            </w:r>
          </w:p>
        </w:tc>
        <w:tc>
          <w:tcPr>
            <w:tcW w:w="2682" w:type="dxa"/>
            <w:noWrap w:val="0"/>
            <w:vAlign w:val="center"/>
          </w:tcPr>
          <w:p w14:paraId="4DAE5592">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http://www.ayxy.edu.cn/rs/channels/2397.html</w:t>
            </w:r>
          </w:p>
        </w:tc>
      </w:tr>
      <w:tr w14:paraId="1D53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16C6A4C4">
            <w:pPr>
              <w:spacing w:line="440" w:lineRule="exact"/>
              <w:jc w:val="center"/>
              <w:rPr>
                <w:rFonts w:ascii="仿宋" w:hAnsi="仿宋" w:eastAsia="仿宋"/>
                <w:b/>
                <w:bCs/>
                <w:sz w:val="24"/>
                <w:szCs w:val="24"/>
                <w:highlight w:val="none"/>
              </w:rPr>
            </w:pPr>
          </w:p>
        </w:tc>
        <w:tc>
          <w:tcPr>
            <w:tcW w:w="2244" w:type="dxa"/>
            <w:vMerge w:val="restart"/>
            <w:noWrap w:val="0"/>
            <w:vAlign w:val="center"/>
          </w:tcPr>
          <w:p w14:paraId="318873AA">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25、校内中层干部任免、人员招聘信息</w:t>
            </w:r>
          </w:p>
        </w:tc>
        <w:tc>
          <w:tcPr>
            <w:tcW w:w="993" w:type="dxa"/>
            <w:noWrap w:val="0"/>
            <w:vAlign w:val="center"/>
          </w:tcPr>
          <w:p w14:paraId="7266545C">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（31）</w:t>
            </w:r>
          </w:p>
        </w:tc>
        <w:tc>
          <w:tcPr>
            <w:tcW w:w="2180" w:type="dxa"/>
            <w:noWrap w:val="0"/>
            <w:vAlign w:val="center"/>
          </w:tcPr>
          <w:p w14:paraId="7862DFE5">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校内中层干部任免</w:t>
            </w:r>
          </w:p>
        </w:tc>
        <w:tc>
          <w:tcPr>
            <w:tcW w:w="2682" w:type="dxa"/>
            <w:noWrap w:val="0"/>
            <w:vAlign w:val="center"/>
          </w:tcPr>
          <w:p w14:paraId="2EE22F29">
            <w:pPr>
              <w:spacing w:line="42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http://www.ayxy.edu.cn/rs/channels/2368_2.html</w:t>
            </w:r>
          </w:p>
        </w:tc>
      </w:tr>
      <w:tr w14:paraId="168D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0EECC87E">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0D9304C7">
            <w:pPr>
              <w:spacing w:line="440" w:lineRule="exact"/>
              <w:jc w:val="center"/>
              <w:rPr>
                <w:rFonts w:ascii="仿宋" w:hAnsi="仿宋" w:eastAsia="仿宋"/>
                <w:sz w:val="24"/>
                <w:szCs w:val="24"/>
                <w:highlight w:val="none"/>
              </w:rPr>
            </w:pPr>
          </w:p>
        </w:tc>
        <w:tc>
          <w:tcPr>
            <w:tcW w:w="993" w:type="dxa"/>
            <w:noWrap w:val="0"/>
            <w:vAlign w:val="center"/>
          </w:tcPr>
          <w:p w14:paraId="3C635F0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（32）</w:t>
            </w:r>
          </w:p>
        </w:tc>
        <w:tc>
          <w:tcPr>
            <w:tcW w:w="2180" w:type="dxa"/>
            <w:noWrap w:val="0"/>
            <w:vAlign w:val="center"/>
          </w:tcPr>
          <w:p w14:paraId="1602D16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人员招聘信息</w:t>
            </w:r>
          </w:p>
        </w:tc>
        <w:tc>
          <w:tcPr>
            <w:tcW w:w="2682" w:type="dxa"/>
            <w:noWrap w:val="0"/>
            <w:vAlign w:val="center"/>
          </w:tcPr>
          <w:p w14:paraId="6CDAE24B">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http://www.ayxy.edu.cn/rs/channels/2399.html</w:t>
            </w:r>
          </w:p>
        </w:tc>
      </w:tr>
      <w:tr w14:paraId="3349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04" w:type="dxa"/>
            <w:vMerge w:val="continue"/>
            <w:noWrap w:val="0"/>
            <w:vAlign w:val="center"/>
          </w:tcPr>
          <w:p w14:paraId="03A39AD8">
            <w:pPr>
              <w:spacing w:line="440" w:lineRule="exact"/>
              <w:jc w:val="center"/>
              <w:rPr>
                <w:rFonts w:ascii="仿宋" w:hAnsi="仿宋" w:eastAsia="仿宋"/>
                <w:b/>
                <w:bCs/>
                <w:sz w:val="24"/>
                <w:szCs w:val="24"/>
                <w:highlight w:val="none"/>
              </w:rPr>
            </w:pPr>
          </w:p>
        </w:tc>
        <w:tc>
          <w:tcPr>
            <w:tcW w:w="2244" w:type="dxa"/>
            <w:noWrap w:val="0"/>
            <w:vAlign w:val="center"/>
          </w:tcPr>
          <w:p w14:paraId="79C3C5E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26、教职工争议解决办法</w:t>
            </w:r>
          </w:p>
        </w:tc>
        <w:tc>
          <w:tcPr>
            <w:tcW w:w="993" w:type="dxa"/>
            <w:noWrap w:val="0"/>
            <w:vAlign w:val="center"/>
          </w:tcPr>
          <w:p w14:paraId="3AE2D6B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（33）</w:t>
            </w:r>
          </w:p>
        </w:tc>
        <w:tc>
          <w:tcPr>
            <w:tcW w:w="2180" w:type="dxa"/>
            <w:noWrap w:val="0"/>
            <w:vAlign w:val="center"/>
          </w:tcPr>
          <w:p w14:paraId="53AC8429">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教职工争议解决办法</w:t>
            </w:r>
          </w:p>
        </w:tc>
        <w:tc>
          <w:tcPr>
            <w:tcW w:w="2682" w:type="dxa"/>
            <w:noWrap w:val="0"/>
            <w:vAlign w:val="center"/>
          </w:tcPr>
          <w:p w14:paraId="1797CCE4">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http://www.ayxy.edu.cn/rs/channels/2377.html</w:t>
            </w:r>
          </w:p>
        </w:tc>
      </w:tr>
      <w:tr w14:paraId="454C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restart"/>
            <w:noWrap w:val="0"/>
            <w:vAlign w:val="center"/>
          </w:tcPr>
          <w:p w14:paraId="1365E8B6">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五、教学质量信息</w:t>
            </w:r>
          </w:p>
        </w:tc>
        <w:tc>
          <w:tcPr>
            <w:tcW w:w="2244" w:type="dxa"/>
            <w:vMerge w:val="restart"/>
            <w:noWrap w:val="0"/>
            <w:vAlign w:val="center"/>
          </w:tcPr>
          <w:p w14:paraId="1988025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27、本科生占全日制在校生总数的比例、教师数量及结构</w:t>
            </w:r>
          </w:p>
        </w:tc>
        <w:tc>
          <w:tcPr>
            <w:tcW w:w="993" w:type="dxa"/>
            <w:noWrap w:val="0"/>
            <w:vAlign w:val="center"/>
          </w:tcPr>
          <w:p w14:paraId="305E715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（34）</w:t>
            </w:r>
          </w:p>
        </w:tc>
        <w:tc>
          <w:tcPr>
            <w:tcW w:w="2180" w:type="dxa"/>
            <w:noWrap w:val="0"/>
            <w:vAlign w:val="center"/>
          </w:tcPr>
          <w:p w14:paraId="4F21B02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本科生占全日制在校生总数的比例</w:t>
            </w:r>
          </w:p>
        </w:tc>
        <w:tc>
          <w:tcPr>
            <w:tcW w:w="2682" w:type="dxa"/>
            <w:noWrap w:val="0"/>
            <w:vAlign w:val="center"/>
          </w:tcPr>
          <w:p w14:paraId="3785AA9D">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http://www.ayxy.edu.cn/pgb/channels/2042.html</w:t>
            </w:r>
          </w:p>
        </w:tc>
      </w:tr>
      <w:tr w14:paraId="01D1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3C191540">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41CFC7A1">
            <w:pPr>
              <w:spacing w:line="440" w:lineRule="exact"/>
              <w:jc w:val="center"/>
              <w:rPr>
                <w:rFonts w:ascii="仿宋" w:hAnsi="仿宋" w:eastAsia="仿宋"/>
                <w:sz w:val="24"/>
                <w:szCs w:val="24"/>
                <w:highlight w:val="none"/>
              </w:rPr>
            </w:pPr>
          </w:p>
        </w:tc>
        <w:tc>
          <w:tcPr>
            <w:tcW w:w="993" w:type="dxa"/>
            <w:noWrap w:val="0"/>
            <w:vAlign w:val="center"/>
          </w:tcPr>
          <w:p w14:paraId="1ABAFD3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（35）</w:t>
            </w:r>
          </w:p>
        </w:tc>
        <w:tc>
          <w:tcPr>
            <w:tcW w:w="2180" w:type="dxa"/>
            <w:noWrap w:val="0"/>
            <w:vAlign w:val="center"/>
          </w:tcPr>
          <w:p w14:paraId="34B93D4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教师数量及结构</w:t>
            </w:r>
          </w:p>
        </w:tc>
        <w:tc>
          <w:tcPr>
            <w:tcW w:w="2682" w:type="dxa"/>
            <w:noWrap w:val="0"/>
            <w:vAlign w:val="center"/>
          </w:tcPr>
          <w:p w14:paraId="4DBADE45">
            <w:pPr>
              <w:spacing w:line="440" w:lineRule="exact"/>
              <w:jc w:val="center"/>
              <w:rPr>
                <w:rFonts w:ascii="仿宋" w:hAnsi="仿宋" w:eastAsia="仿宋"/>
                <w:sz w:val="24"/>
                <w:szCs w:val="24"/>
                <w:highlight w:val="none"/>
              </w:rPr>
            </w:pPr>
            <w:r>
              <w:rPr>
                <w:rFonts w:hint="eastAsia" w:ascii="仿宋" w:hAnsi="仿宋" w:eastAsia="仿宋"/>
                <w:sz w:val="20"/>
                <w:szCs w:val="20"/>
                <w:highlight w:val="none"/>
              </w:rPr>
              <w:t>https://www.ayxy.edu.cn/</w:t>
            </w:r>
          </w:p>
        </w:tc>
      </w:tr>
      <w:tr w14:paraId="39B6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4" w:type="dxa"/>
            <w:vMerge w:val="continue"/>
            <w:noWrap w:val="0"/>
            <w:vAlign w:val="center"/>
          </w:tcPr>
          <w:p w14:paraId="3AD0B71F">
            <w:pPr>
              <w:spacing w:line="440" w:lineRule="exact"/>
              <w:jc w:val="center"/>
              <w:rPr>
                <w:rFonts w:ascii="仿宋" w:hAnsi="仿宋" w:eastAsia="仿宋"/>
                <w:b/>
                <w:bCs/>
                <w:sz w:val="24"/>
                <w:szCs w:val="24"/>
                <w:highlight w:val="none"/>
              </w:rPr>
            </w:pPr>
          </w:p>
        </w:tc>
        <w:tc>
          <w:tcPr>
            <w:tcW w:w="2244" w:type="dxa"/>
            <w:noWrap w:val="0"/>
            <w:vAlign w:val="center"/>
          </w:tcPr>
          <w:p w14:paraId="61588317">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28、专业设置、当年新增专业、停招专业名单</w:t>
            </w:r>
          </w:p>
        </w:tc>
        <w:tc>
          <w:tcPr>
            <w:tcW w:w="993" w:type="dxa"/>
            <w:noWrap w:val="0"/>
            <w:vAlign w:val="center"/>
          </w:tcPr>
          <w:p w14:paraId="484D895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（36）</w:t>
            </w:r>
          </w:p>
        </w:tc>
        <w:tc>
          <w:tcPr>
            <w:tcW w:w="2180" w:type="dxa"/>
            <w:noWrap w:val="0"/>
            <w:vAlign w:val="center"/>
          </w:tcPr>
          <w:p w14:paraId="5DE6FFB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专业设置、当年新增专业、停招专业名单</w:t>
            </w:r>
          </w:p>
        </w:tc>
        <w:tc>
          <w:tcPr>
            <w:tcW w:w="2682" w:type="dxa"/>
            <w:noWrap w:val="0"/>
            <w:vAlign w:val="center"/>
          </w:tcPr>
          <w:p w14:paraId="48A3218C">
            <w:pPr>
              <w:spacing w:line="440" w:lineRule="exact"/>
              <w:jc w:val="center"/>
              <w:rPr>
                <w:rFonts w:ascii="仿宋" w:hAnsi="仿宋" w:eastAsia="仿宋"/>
                <w:sz w:val="24"/>
                <w:szCs w:val="24"/>
                <w:highlight w:val="none"/>
              </w:rPr>
            </w:pPr>
            <w:r>
              <w:rPr>
                <w:rFonts w:hint="eastAsia" w:ascii="仿宋" w:hAnsi="仿宋" w:eastAsia="仿宋"/>
                <w:sz w:val="20"/>
                <w:szCs w:val="20"/>
                <w:highlight w:val="none"/>
              </w:rPr>
              <w:t>https://www.ayxy.edu.cn/</w:t>
            </w:r>
          </w:p>
        </w:tc>
      </w:tr>
      <w:tr w14:paraId="7CC1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4" w:type="dxa"/>
            <w:vMerge w:val="continue"/>
            <w:noWrap w:val="0"/>
            <w:vAlign w:val="center"/>
          </w:tcPr>
          <w:p w14:paraId="65BADCC8">
            <w:pPr>
              <w:spacing w:line="440" w:lineRule="exact"/>
              <w:jc w:val="center"/>
              <w:rPr>
                <w:rFonts w:ascii="仿宋" w:hAnsi="仿宋" w:eastAsia="仿宋"/>
                <w:b/>
                <w:bCs/>
                <w:sz w:val="24"/>
                <w:szCs w:val="24"/>
                <w:highlight w:val="none"/>
              </w:rPr>
            </w:pPr>
          </w:p>
        </w:tc>
        <w:tc>
          <w:tcPr>
            <w:tcW w:w="2244" w:type="dxa"/>
            <w:noWrap w:val="0"/>
            <w:vAlign w:val="center"/>
          </w:tcPr>
          <w:p w14:paraId="5106CC3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29、全校开设课程总门数、实践教学学分占总学分比例、选修课学分占总学分比例</w:t>
            </w:r>
          </w:p>
        </w:tc>
        <w:tc>
          <w:tcPr>
            <w:tcW w:w="993" w:type="dxa"/>
            <w:noWrap w:val="0"/>
            <w:vAlign w:val="center"/>
          </w:tcPr>
          <w:p w14:paraId="58DD26C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（37）</w:t>
            </w:r>
          </w:p>
        </w:tc>
        <w:tc>
          <w:tcPr>
            <w:tcW w:w="2180" w:type="dxa"/>
            <w:noWrap w:val="0"/>
            <w:vAlign w:val="center"/>
          </w:tcPr>
          <w:p w14:paraId="46BC719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全校开设课程总门数、实践教学学分占总学分比例、选修课学分占总学分比例</w:t>
            </w:r>
          </w:p>
        </w:tc>
        <w:tc>
          <w:tcPr>
            <w:tcW w:w="2682" w:type="dxa"/>
            <w:noWrap w:val="0"/>
            <w:vAlign w:val="center"/>
          </w:tcPr>
          <w:p w14:paraId="2B4FE038">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http://www.ayxy.edu.cn/jwc/index.html</w:t>
            </w:r>
          </w:p>
        </w:tc>
      </w:tr>
      <w:tr w14:paraId="4420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4" w:type="dxa"/>
            <w:vMerge w:val="continue"/>
            <w:noWrap w:val="0"/>
            <w:vAlign w:val="center"/>
          </w:tcPr>
          <w:p w14:paraId="40584C77">
            <w:pPr>
              <w:spacing w:line="440" w:lineRule="exact"/>
              <w:jc w:val="center"/>
              <w:rPr>
                <w:rFonts w:ascii="仿宋" w:hAnsi="仿宋" w:eastAsia="仿宋"/>
                <w:b/>
                <w:bCs/>
                <w:sz w:val="24"/>
                <w:szCs w:val="24"/>
                <w:highlight w:val="none"/>
              </w:rPr>
            </w:pPr>
          </w:p>
        </w:tc>
        <w:tc>
          <w:tcPr>
            <w:tcW w:w="2244" w:type="dxa"/>
            <w:noWrap w:val="0"/>
            <w:vAlign w:val="center"/>
          </w:tcPr>
          <w:p w14:paraId="34CF4D8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30、主讲本科课程的教授占教授总数的比例、教授授本科课程占课程总门次数的比例</w:t>
            </w:r>
          </w:p>
        </w:tc>
        <w:tc>
          <w:tcPr>
            <w:tcW w:w="993" w:type="dxa"/>
            <w:noWrap w:val="0"/>
            <w:vAlign w:val="center"/>
          </w:tcPr>
          <w:p w14:paraId="042DE86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（38）</w:t>
            </w:r>
          </w:p>
        </w:tc>
        <w:tc>
          <w:tcPr>
            <w:tcW w:w="2180" w:type="dxa"/>
            <w:noWrap w:val="0"/>
            <w:vAlign w:val="center"/>
          </w:tcPr>
          <w:p w14:paraId="1D3F2944">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主讲本科课程的教授占教授总数的比例、教授授本科课程占课程总门次数的比例</w:t>
            </w:r>
          </w:p>
        </w:tc>
        <w:tc>
          <w:tcPr>
            <w:tcW w:w="2682" w:type="dxa"/>
            <w:noWrap w:val="0"/>
            <w:vAlign w:val="center"/>
          </w:tcPr>
          <w:p w14:paraId="4E4D0C99">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http://www.ayxy.edu.cn/pgb/channels/2042.html</w:t>
            </w:r>
          </w:p>
        </w:tc>
      </w:tr>
      <w:tr w14:paraId="10BE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5EAA0F0F">
            <w:pPr>
              <w:spacing w:line="440" w:lineRule="exact"/>
              <w:jc w:val="center"/>
              <w:rPr>
                <w:rFonts w:ascii="仿宋" w:hAnsi="仿宋" w:eastAsia="仿宋"/>
                <w:b/>
                <w:bCs/>
                <w:sz w:val="24"/>
                <w:szCs w:val="24"/>
                <w:highlight w:val="none"/>
              </w:rPr>
            </w:pPr>
          </w:p>
        </w:tc>
        <w:tc>
          <w:tcPr>
            <w:tcW w:w="2244" w:type="dxa"/>
            <w:noWrap w:val="0"/>
            <w:vAlign w:val="center"/>
          </w:tcPr>
          <w:p w14:paraId="6355869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31、促进毕业生就业的政策措施和指导服务</w:t>
            </w:r>
          </w:p>
        </w:tc>
        <w:tc>
          <w:tcPr>
            <w:tcW w:w="993" w:type="dxa"/>
            <w:noWrap w:val="0"/>
            <w:vAlign w:val="center"/>
          </w:tcPr>
          <w:p w14:paraId="024D97E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（39）</w:t>
            </w:r>
          </w:p>
        </w:tc>
        <w:tc>
          <w:tcPr>
            <w:tcW w:w="2180" w:type="dxa"/>
            <w:noWrap w:val="0"/>
            <w:vAlign w:val="center"/>
          </w:tcPr>
          <w:p w14:paraId="10A7E9C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促进毕业生就业的政策措施和指导服务</w:t>
            </w:r>
          </w:p>
        </w:tc>
        <w:tc>
          <w:tcPr>
            <w:tcW w:w="2682" w:type="dxa"/>
            <w:noWrap w:val="0"/>
            <w:vAlign w:val="center"/>
          </w:tcPr>
          <w:p w14:paraId="1792C9D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http://ayxy.goworkla.cn/</w:t>
            </w:r>
          </w:p>
        </w:tc>
      </w:tr>
      <w:tr w14:paraId="00E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4" w:type="dxa"/>
            <w:vMerge w:val="continue"/>
            <w:noWrap w:val="0"/>
            <w:vAlign w:val="center"/>
          </w:tcPr>
          <w:p w14:paraId="0964639A">
            <w:pPr>
              <w:spacing w:line="440" w:lineRule="exact"/>
              <w:jc w:val="center"/>
              <w:rPr>
                <w:rFonts w:ascii="仿宋" w:hAnsi="仿宋" w:eastAsia="仿宋"/>
                <w:b/>
                <w:bCs/>
                <w:sz w:val="24"/>
                <w:szCs w:val="24"/>
                <w:highlight w:val="none"/>
              </w:rPr>
            </w:pPr>
          </w:p>
        </w:tc>
        <w:tc>
          <w:tcPr>
            <w:tcW w:w="2244" w:type="dxa"/>
            <w:noWrap w:val="0"/>
            <w:vAlign w:val="center"/>
          </w:tcPr>
          <w:p w14:paraId="7CFDF819">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32、毕业生的规模、结构、就业率、就业流向</w:t>
            </w:r>
          </w:p>
        </w:tc>
        <w:tc>
          <w:tcPr>
            <w:tcW w:w="993" w:type="dxa"/>
            <w:noWrap w:val="0"/>
            <w:vAlign w:val="center"/>
          </w:tcPr>
          <w:p w14:paraId="4CE3530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（40）</w:t>
            </w:r>
          </w:p>
        </w:tc>
        <w:tc>
          <w:tcPr>
            <w:tcW w:w="2180" w:type="dxa"/>
            <w:noWrap w:val="0"/>
            <w:vAlign w:val="center"/>
          </w:tcPr>
          <w:p w14:paraId="2C19321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毕业生的规模、结构、就业率、就业流向</w:t>
            </w:r>
          </w:p>
        </w:tc>
        <w:tc>
          <w:tcPr>
            <w:tcW w:w="2682" w:type="dxa"/>
            <w:noWrap w:val="0"/>
            <w:vAlign w:val="center"/>
          </w:tcPr>
          <w:p w14:paraId="0066473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http://ayxy.goworkla.cn/</w:t>
            </w:r>
          </w:p>
        </w:tc>
      </w:tr>
      <w:tr w14:paraId="4E0E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56006673">
            <w:pPr>
              <w:spacing w:line="440" w:lineRule="exact"/>
              <w:jc w:val="center"/>
              <w:rPr>
                <w:rFonts w:ascii="仿宋" w:hAnsi="仿宋" w:eastAsia="仿宋"/>
                <w:b/>
                <w:bCs/>
                <w:sz w:val="24"/>
                <w:szCs w:val="24"/>
                <w:highlight w:val="none"/>
              </w:rPr>
            </w:pPr>
          </w:p>
        </w:tc>
        <w:tc>
          <w:tcPr>
            <w:tcW w:w="2244" w:type="dxa"/>
            <w:noWrap w:val="0"/>
            <w:vAlign w:val="center"/>
          </w:tcPr>
          <w:p w14:paraId="055C1D5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33、高校毕业生就业质量年度报告</w:t>
            </w:r>
          </w:p>
        </w:tc>
        <w:tc>
          <w:tcPr>
            <w:tcW w:w="993" w:type="dxa"/>
            <w:noWrap w:val="0"/>
            <w:vAlign w:val="center"/>
          </w:tcPr>
          <w:p w14:paraId="64F402D7">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（41）</w:t>
            </w:r>
          </w:p>
        </w:tc>
        <w:tc>
          <w:tcPr>
            <w:tcW w:w="2180" w:type="dxa"/>
            <w:noWrap w:val="0"/>
            <w:vAlign w:val="center"/>
          </w:tcPr>
          <w:p w14:paraId="21A8C65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高校毕业生就业质量年度报告</w:t>
            </w:r>
          </w:p>
        </w:tc>
        <w:tc>
          <w:tcPr>
            <w:tcW w:w="2682" w:type="dxa"/>
            <w:noWrap w:val="0"/>
            <w:vAlign w:val="center"/>
          </w:tcPr>
          <w:p w14:paraId="32315EF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http://ayxy.goworkla.cn/</w:t>
            </w:r>
          </w:p>
        </w:tc>
      </w:tr>
      <w:tr w14:paraId="2BD8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1C3F7216">
            <w:pPr>
              <w:spacing w:line="440" w:lineRule="exact"/>
              <w:jc w:val="center"/>
              <w:rPr>
                <w:rFonts w:ascii="仿宋" w:hAnsi="仿宋" w:eastAsia="仿宋"/>
                <w:b/>
                <w:bCs/>
                <w:sz w:val="24"/>
                <w:szCs w:val="24"/>
                <w:highlight w:val="none"/>
              </w:rPr>
            </w:pPr>
          </w:p>
        </w:tc>
        <w:tc>
          <w:tcPr>
            <w:tcW w:w="2244" w:type="dxa"/>
            <w:noWrap w:val="0"/>
            <w:vAlign w:val="center"/>
          </w:tcPr>
          <w:p w14:paraId="73B45FA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34、艺术教育发展年度报告</w:t>
            </w:r>
          </w:p>
        </w:tc>
        <w:tc>
          <w:tcPr>
            <w:tcW w:w="993" w:type="dxa"/>
            <w:noWrap w:val="0"/>
            <w:vAlign w:val="center"/>
          </w:tcPr>
          <w:p w14:paraId="60C4EBF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（42）</w:t>
            </w:r>
          </w:p>
        </w:tc>
        <w:tc>
          <w:tcPr>
            <w:tcW w:w="2180" w:type="dxa"/>
            <w:noWrap w:val="0"/>
            <w:vAlign w:val="center"/>
          </w:tcPr>
          <w:p w14:paraId="1326A99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艺术教育发展年度报告</w:t>
            </w:r>
          </w:p>
        </w:tc>
        <w:tc>
          <w:tcPr>
            <w:tcW w:w="2682" w:type="dxa"/>
            <w:noWrap w:val="0"/>
            <w:vAlign w:val="center"/>
          </w:tcPr>
          <w:p w14:paraId="36D56E34">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https://www.ayxy.edu.cn/</w:t>
            </w:r>
          </w:p>
        </w:tc>
      </w:tr>
      <w:tr w14:paraId="4A01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vMerge w:val="continue"/>
            <w:noWrap w:val="0"/>
            <w:vAlign w:val="center"/>
          </w:tcPr>
          <w:p w14:paraId="2636D428">
            <w:pPr>
              <w:spacing w:line="440" w:lineRule="exact"/>
              <w:jc w:val="center"/>
              <w:rPr>
                <w:rFonts w:ascii="仿宋" w:hAnsi="仿宋" w:eastAsia="仿宋"/>
                <w:b/>
                <w:bCs/>
                <w:sz w:val="24"/>
                <w:szCs w:val="24"/>
                <w:highlight w:val="none"/>
              </w:rPr>
            </w:pPr>
          </w:p>
        </w:tc>
        <w:tc>
          <w:tcPr>
            <w:tcW w:w="2244" w:type="dxa"/>
            <w:noWrap w:val="0"/>
            <w:vAlign w:val="center"/>
          </w:tcPr>
          <w:p w14:paraId="46D8690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35、本科教学质量报告</w:t>
            </w:r>
          </w:p>
        </w:tc>
        <w:tc>
          <w:tcPr>
            <w:tcW w:w="993" w:type="dxa"/>
            <w:noWrap w:val="0"/>
            <w:vAlign w:val="center"/>
          </w:tcPr>
          <w:p w14:paraId="04038CC7">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（43）</w:t>
            </w:r>
          </w:p>
        </w:tc>
        <w:tc>
          <w:tcPr>
            <w:tcW w:w="2180" w:type="dxa"/>
            <w:noWrap w:val="0"/>
            <w:vAlign w:val="center"/>
          </w:tcPr>
          <w:p w14:paraId="0373D0D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本科教学质量报告</w:t>
            </w:r>
          </w:p>
        </w:tc>
        <w:tc>
          <w:tcPr>
            <w:tcW w:w="2682" w:type="dxa"/>
            <w:noWrap w:val="0"/>
            <w:vAlign w:val="center"/>
          </w:tcPr>
          <w:p w14:paraId="53D6B02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http://www.ayxy.edu.cn/xxgkw/channels/6161.html</w:t>
            </w:r>
          </w:p>
        </w:tc>
      </w:tr>
      <w:tr w14:paraId="5356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4" w:type="dxa"/>
            <w:vMerge w:val="restart"/>
            <w:noWrap w:val="0"/>
            <w:vAlign w:val="center"/>
          </w:tcPr>
          <w:p w14:paraId="134529D5">
            <w:pPr>
              <w:spacing w:line="440" w:lineRule="exact"/>
              <w:jc w:val="center"/>
              <w:rPr>
                <w:rFonts w:ascii="仿宋" w:hAnsi="仿宋" w:eastAsia="仿宋"/>
                <w:b/>
                <w:bCs/>
                <w:sz w:val="24"/>
                <w:szCs w:val="24"/>
                <w:highlight w:val="none"/>
              </w:rPr>
            </w:pPr>
          </w:p>
          <w:p w14:paraId="4D73ABCD">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六、学生管理服务信息</w:t>
            </w:r>
          </w:p>
        </w:tc>
        <w:tc>
          <w:tcPr>
            <w:tcW w:w="2244" w:type="dxa"/>
            <w:noWrap w:val="0"/>
            <w:vAlign w:val="center"/>
          </w:tcPr>
          <w:p w14:paraId="2AC91BC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36、学籍管理办法</w:t>
            </w:r>
          </w:p>
        </w:tc>
        <w:tc>
          <w:tcPr>
            <w:tcW w:w="993" w:type="dxa"/>
            <w:noWrap w:val="0"/>
            <w:vAlign w:val="center"/>
          </w:tcPr>
          <w:p w14:paraId="0860D9F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（44）</w:t>
            </w:r>
          </w:p>
        </w:tc>
        <w:tc>
          <w:tcPr>
            <w:tcW w:w="2180" w:type="dxa"/>
            <w:noWrap w:val="0"/>
            <w:vAlign w:val="center"/>
          </w:tcPr>
          <w:p w14:paraId="47D7E3D1">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学籍管理办法</w:t>
            </w:r>
          </w:p>
        </w:tc>
        <w:tc>
          <w:tcPr>
            <w:tcW w:w="2682" w:type="dxa"/>
            <w:noWrap w:val="0"/>
            <w:vAlign w:val="center"/>
          </w:tcPr>
          <w:p w14:paraId="39905B82">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http://www.ayxy.edu.cn/xsc/channels/2951.html</w:t>
            </w:r>
          </w:p>
        </w:tc>
      </w:tr>
      <w:tr w14:paraId="3147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4" w:type="dxa"/>
            <w:vMerge w:val="continue"/>
            <w:noWrap w:val="0"/>
            <w:vAlign w:val="center"/>
          </w:tcPr>
          <w:p w14:paraId="27301EE2">
            <w:pPr>
              <w:spacing w:line="440" w:lineRule="exact"/>
              <w:jc w:val="center"/>
              <w:rPr>
                <w:rFonts w:ascii="仿宋" w:hAnsi="仿宋" w:eastAsia="仿宋"/>
                <w:b/>
                <w:bCs/>
                <w:sz w:val="24"/>
                <w:szCs w:val="24"/>
                <w:highlight w:val="none"/>
              </w:rPr>
            </w:pPr>
          </w:p>
        </w:tc>
        <w:tc>
          <w:tcPr>
            <w:tcW w:w="2244" w:type="dxa"/>
            <w:noWrap w:val="0"/>
            <w:vAlign w:val="center"/>
          </w:tcPr>
          <w:p w14:paraId="43097AD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37、学生奖学金、助学金、学费减免、助学贷款、勤工俭学的申请与管理规定</w:t>
            </w:r>
          </w:p>
        </w:tc>
        <w:tc>
          <w:tcPr>
            <w:tcW w:w="993" w:type="dxa"/>
            <w:noWrap w:val="0"/>
            <w:vAlign w:val="center"/>
          </w:tcPr>
          <w:p w14:paraId="1E7F4571">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（45）</w:t>
            </w:r>
          </w:p>
        </w:tc>
        <w:tc>
          <w:tcPr>
            <w:tcW w:w="2180" w:type="dxa"/>
            <w:noWrap w:val="0"/>
            <w:vAlign w:val="center"/>
          </w:tcPr>
          <w:p w14:paraId="038C0AB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学生奖学金、助学金、学费减免、助学贷款、勤工俭学的申请与管理规定</w:t>
            </w:r>
          </w:p>
        </w:tc>
        <w:tc>
          <w:tcPr>
            <w:tcW w:w="2682" w:type="dxa"/>
            <w:noWrap w:val="0"/>
            <w:vAlign w:val="center"/>
          </w:tcPr>
          <w:p w14:paraId="14CB7A3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http://www.ayxy.edu.cn/xsc/channels/2924.html</w:t>
            </w:r>
          </w:p>
        </w:tc>
      </w:tr>
      <w:tr w14:paraId="4B72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4" w:type="dxa"/>
            <w:vMerge w:val="continue"/>
            <w:noWrap w:val="0"/>
            <w:vAlign w:val="center"/>
          </w:tcPr>
          <w:p w14:paraId="0DED23A6">
            <w:pPr>
              <w:spacing w:line="440" w:lineRule="exact"/>
              <w:jc w:val="center"/>
              <w:rPr>
                <w:rFonts w:ascii="仿宋" w:hAnsi="仿宋" w:eastAsia="仿宋"/>
                <w:b/>
                <w:bCs/>
                <w:sz w:val="24"/>
                <w:szCs w:val="24"/>
                <w:highlight w:val="none"/>
              </w:rPr>
            </w:pPr>
          </w:p>
        </w:tc>
        <w:tc>
          <w:tcPr>
            <w:tcW w:w="2244" w:type="dxa"/>
            <w:noWrap w:val="0"/>
            <w:vAlign w:val="center"/>
          </w:tcPr>
          <w:p w14:paraId="34EC1F1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38、学生奖励处罚办法</w:t>
            </w:r>
          </w:p>
        </w:tc>
        <w:tc>
          <w:tcPr>
            <w:tcW w:w="993" w:type="dxa"/>
            <w:noWrap w:val="0"/>
            <w:vAlign w:val="center"/>
          </w:tcPr>
          <w:p w14:paraId="3D2A3A84">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（46）</w:t>
            </w:r>
          </w:p>
        </w:tc>
        <w:tc>
          <w:tcPr>
            <w:tcW w:w="2180" w:type="dxa"/>
            <w:noWrap w:val="0"/>
            <w:vAlign w:val="center"/>
          </w:tcPr>
          <w:p w14:paraId="492B6411">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学生奖励处罚办法</w:t>
            </w:r>
          </w:p>
        </w:tc>
        <w:tc>
          <w:tcPr>
            <w:tcW w:w="2682" w:type="dxa"/>
            <w:noWrap w:val="0"/>
            <w:vAlign w:val="center"/>
          </w:tcPr>
          <w:p w14:paraId="69AFFF74">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http://www.ayxy.edu.cn/xsc/channels/2951.html</w:t>
            </w:r>
          </w:p>
        </w:tc>
      </w:tr>
      <w:tr w14:paraId="0FF0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vMerge w:val="continue"/>
            <w:noWrap w:val="0"/>
            <w:vAlign w:val="center"/>
          </w:tcPr>
          <w:p w14:paraId="5B08654D">
            <w:pPr>
              <w:spacing w:line="440" w:lineRule="exact"/>
              <w:jc w:val="center"/>
              <w:rPr>
                <w:rFonts w:ascii="仿宋" w:hAnsi="仿宋" w:eastAsia="仿宋"/>
                <w:b/>
                <w:bCs/>
                <w:sz w:val="24"/>
                <w:szCs w:val="24"/>
                <w:highlight w:val="none"/>
              </w:rPr>
            </w:pPr>
          </w:p>
        </w:tc>
        <w:tc>
          <w:tcPr>
            <w:tcW w:w="2244" w:type="dxa"/>
            <w:noWrap w:val="0"/>
            <w:vAlign w:val="center"/>
          </w:tcPr>
          <w:p w14:paraId="7B87B74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39、学生申诉办法</w:t>
            </w:r>
          </w:p>
        </w:tc>
        <w:tc>
          <w:tcPr>
            <w:tcW w:w="993" w:type="dxa"/>
            <w:noWrap w:val="0"/>
            <w:vAlign w:val="center"/>
          </w:tcPr>
          <w:p w14:paraId="21C20F3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（47）</w:t>
            </w:r>
          </w:p>
        </w:tc>
        <w:tc>
          <w:tcPr>
            <w:tcW w:w="2180" w:type="dxa"/>
            <w:noWrap w:val="0"/>
            <w:vAlign w:val="center"/>
          </w:tcPr>
          <w:p w14:paraId="26951E89">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学生申诉办法</w:t>
            </w:r>
          </w:p>
        </w:tc>
        <w:tc>
          <w:tcPr>
            <w:tcW w:w="2682" w:type="dxa"/>
            <w:noWrap w:val="0"/>
            <w:vAlign w:val="center"/>
          </w:tcPr>
          <w:p w14:paraId="50DC1423">
            <w:pPr>
              <w:spacing w:line="440" w:lineRule="exact"/>
              <w:jc w:val="center"/>
              <w:rPr>
                <w:rFonts w:ascii="仿宋" w:hAnsi="仿宋" w:eastAsia="仿宋"/>
                <w:sz w:val="24"/>
                <w:szCs w:val="24"/>
                <w:highlight w:val="none"/>
              </w:rPr>
            </w:pPr>
            <w:r>
              <w:rPr>
                <w:rFonts w:hint="eastAsia" w:ascii="仿宋" w:hAnsi="仿宋" w:eastAsia="仿宋"/>
                <w:sz w:val="21"/>
                <w:szCs w:val="21"/>
                <w:highlight w:val="none"/>
              </w:rPr>
              <w:t>http://www.ayxy.edu.cn/xsc/channels/2951.html</w:t>
            </w:r>
          </w:p>
        </w:tc>
      </w:tr>
      <w:tr w14:paraId="21C4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restart"/>
            <w:noWrap w:val="0"/>
            <w:vAlign w:val="center"/>
          </w:tcPr>
          <w:p w14:paraId="385555CF">
            <w:pPr>
              <w:spacing w:line="42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七、学风建设信息</w:t>
            </w:r>
          </w:p>
        </w:tc>
        <w:tc>
          <w:tcPr>
            <w:tcW w:w="2244" w:type="dxa"/>
            <w:noWrap w:val="0"/>
            <w:vAlign w:val="center"/>
          </w:tcPr>
          <w:p w14:paraId="6128868F">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40、学风建设机构</w:t>
            </w:r>
          </w:p>
        </w:tc>
        <w:tc>
          <w:tcPr>
            <w:tcW w:w="993" w:type="dxa"/>
            <w:noWrap w:val="0"/>
            <w:vAlign w:val="center"/>
          </w:tcPr>
          <w:p w14:paraId="3441C679">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（48）</w:t>
            </w:r>
          </w:p>
        </w:tc>
        <w:tc>
          <w:tcPr>
            <w:tcW w:w="2180" w:type="dxa"/>
            <w:noWrap w:val="0"/>
            <w:vAlign w:val="center"/>
          </w:tcPr>
          <w:p w14:paraId="618406E7">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学风建设机构</w:t>
            </w:r>
          </w:p>
        </w:tc>
        <w:tc>
          <w:tcPr>
            <w:tcW w:w="2682" w:type="dxa"/>
            <w:noWrap w:val="0"/>
            <w:vAlign w:val="center"/>
          </w:tcPr>
          <w:p w14:paraId="3E0E5D7C">
            <w:pPr>
              <w:spacing w:line="440" w:lineRule="exact"/>
              <w:jc w:val="center"/>
              <w:rPr>
                <w:rFonts w:hint="eastAsia" w:ascii="仿宋" w:hAnsi="仿宋" w:eastAsia="仿宋"/>
                <w:sz w:val="21"/>
                <w:szCs w:val="21"/>
                <w:highlight w:val="none"/>
              </w:rPr>
            </w:pPr>
            <w:r>
              <w:rPr>
                <w:rFonts w:hint="eastAsia" w:ascii="仿宋" w:hAnsi="仿宋" w:eastAsia="仿宋"/>
                <w:sz w:val="21"/>
                <w:szCs w:val="21"/>
                <w:highlight w:val="none"/>
              </w:rPr>
              <w:t>http://www.ayxy.edu.cn/jcb/</w:t>
            </w:r>
          </w:p>
        </w:tc>
      </w:tr>
      <w:tr w14:paraId="66D6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0D5FF54B">
            <w:pPr>
              <w:spacing w:line="420" w:lineRule="exact"/>
              <w:jc w:val="center"/>
              <w:rPr>
                <w:rFonts w:ascii="仿宋" w:hAnsi="仿宋" w:eastAsia="仿宋"/>
                <w:b/>
                <w:bCs/>
                <w:sz w:val="24"/>
                <w:szCs w:val="24"/>
                <w:highlight w:val="none"/>
              </w:rPr>
            </w:pPr>
          </w:p>
        </w:tc>
        <w:tc>
          <w:tcPr>
            <w:tcW w:w="2244" w:type="dxa"/>
            <w:noWrap w:val="0"/>
            <w:vAlign w:val="center"/>
          </w:tcPr>
          <w:p w14:paraId="3C065C30">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41、学术规范制度</w:t>
            </w:r>
          </w:p>
        </w:tc>
        <w:tc>
          <w:tcPr>
            <w:tcW w:w="993" w:type="dxa"/>
            <w:noWrap w:val="0"/>
            <w:vAlign w:val="center"/>
          </w:tcPr>
          <w:p w14:paraId="66A2C363">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（49）</w:t>
            </w:r>
          </w:p>
        </w:tc>
        <w:tc>
          <w:tcPr>
            <w:tcW w:w="2180" w:type="dxa"/>
            <w:noWrap w:val="0"/>
            <w:vAlign w:val="center"/>
          </w:tcPr>
          <w:p w14:paraId="0E90B159">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学术规范制度</w:t>
            </w:r>
          </w:p>
        </w:tc>
        <w:tc>
          <w:tcPr>
            <w:tcW w:w="2682" w:type="dxa"/>
            <w:noWrap w:val="0"/>
            <w:vAlign w:val="center"/>
          </w:tcPr>
          <w:p w14:paraId="36923C9E">
            <w:pPr>
              <w:spacing w:line="440" w:lineRule="exact"/>
              <w:jc w:val="center"/>
              <w:rPr>
                <w:rFonts w:hint="eastAsia" w:ascii="仿宋" w:hAnsi="仿宋" w:eastAsia="仿宋"/>
                <w:sz w:val="21"/>
                <w:szCs w:val="21"/>
                <w:highlight w:val="none"/>
              </w:rPr>
            </w:pPr>
            <w:r>
              <w:rPr>
                <w:rFonts w:hint="eastAsia" w:ascii="仿宋" w:hAnsi="仿宋" w:eastAsia="仿宋"/>
                <w:sz w:val="21"/>
                <w:szCs w:val="21"/>
                <w:highlight w:val="none"/>
              </w:rPr>
              <w:t>http://www.ayxy.edu.cn/jcb/channels/2202.html</w:t>
            </w:r>
          </w:p>
        </w:tc>
      </w:tr>
      <w:tr w14:paraId="4E9A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7EA43A2F">
            <w:pPr>
              <w:spacing w:line="420" w:lineRule="exact"/>
              <w:jc w:val="center"/>
              <w:rPr>
                <w:rFonts w:ascii="仿宋" w:hAnsi="仿宋" w:eastAsia="仿宋"/>
                <w:b/>
                <w:bCs/>
                <w:sz w:val="24"/>
                <w:szCs w:val="24"/>
                <w:highlight w:val="none"/>
              </w:rPr>
            </w:pPr>
          </w:p>
        </w:tc>
        <w:tc>
          <w:tcPr>
            <w:tcW w:w="2244" w:type="dxa"/>
            <w:noWrap w:val="0"/>
            <w:vAlign w:val="center"/>
          </w:tcPr>
          <w:p w14:paraId="23DD21EE">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42、学术不端行为查处机制</w:t>
            </w:r>
          </w:p>
        </w:tc>
        <w:tc>
          <w:tcPr>
            <w:tcW w:w="993" w:type="dxa"/>
            <w:noWrap w:val="0"/>
            <w:vAlign w:val="center"/>
          </w:tcPr>
          <w:p w14:paraId="1B393FE2">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（50）</w:t>
            </w:r>
          </w:p>
        </w:tc>
        <w:tc>
          <w:tcPr>
            <w:tcW w:w="2180" w:type="dxa"/>
            <w:noWrap w:val="0"/>
            <w:vAlign w:val="center"/>
          </w:tcPr>
          <w:p w14:paraId="768D5B92">
            <w:pPr>
              <w:spacing w:line="420" w:lineRule="exact"/>
              <w:jc w:val="center"/>
              <w:rPr>
                <w:rFonts w:ascii="仿宋" w:hAnsi="仿宋" w:eastAsia="仿宋"/>
                <w:sz w:val="24"/>
                <w:szCs w:val="24"/>
                <w:highlight w:val="none"/>
              </w:rPr>
            </w:pPr>
            <w:r>
              <w:rPr>
                <w:rFonts w:hint="eastAsia" w:ascii="仿宋" w:hAnsi="仿宋" w:eastAsia="仿宋"/>
                <w:sz w:val="24"/>
                <w:szCs w:val="24"/>
                <w:highlight w:val="none"/>
              </w:rPr>
              <w:t>学术不端行为查处机制</w:t>
            </w:r>
          </w:p>
        </w:tc>
        <w:tc>
          <w:tcPr>
            <w:tcW w:w="2682" w:type="dxa"/>
            <w:noWrap w:val="0"/>
            <w:vAlign w:val="center"/>
          </w:tcPr>
          <w:p w14:paraId="2733ACDB">
            <w:pPr>
              <w:spacing w:line="440" w:lineRule="exact"/>
              <w:jc w:val="center"/>
              <w:rPr>
                <w:rFonts w:hint="eastAsia" w:ascii="仿宋" w:hAnsi="仿宋" w:eastAsia="仿宋"/>
                <w:sz w:val="21"/>
                <w:szCs w:val="21"/>
                <w:highlight w:val="none"/>
              </w:rPr>
            </w:pPr>
            <w:r>
              <w:rPr>
                <w:rFonts w:hint="eastAsia" w:ascii="仿宋" w:hAnsi="仿宋" w:eastAsia="仿宋"/>
                <w:sz w:val="21"/>
                <w:szCs w:val="21"/>
                <w:highlight w:val="none"/>
              </w:rPr>
              <w:t>http://www.ayxy.edu.cn/jcb/channels/2202.html</w:t>
            </w:r>
          </w:p>
        </w:tc>
      </w:tr>
      <w:tr w14:paraId="6D28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Merge w:val="restart"/>
            <w:noWrap w:val="0"/>
            <w:vAlign w:val="center"/>
          </w:tcPr>
          <w:p w14:paraId="79F4C1D5">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八、学位学科信息</w:t>
            </w:r>
          </w:p>
        </w:tc>
        <w:tc>
          <w:tcPr>
            <w:tcW w:w="2244" w:type="dxa"/>
            <w:noWrap w:val="0"/>
            <w:vAlign w:val="center"/>
          </w:tcPr>
          <w:p w14:paraId="21ED2B71">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43、授予博士、硕士、学士学位的基本要求</w:t>
            </w:r>
          </w:p>
        </w:tc>
        <w:tc>
          <w:tcPr>
            <w:tcW w:w="993" w:type="dxa"/>
            <w:noWrap w:val="0"/>
            <w:vAlign w:val="center"/>
          </w:tcPr>
          <w:p w14:paraId="43ABDD35">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（51）</w:t>
            </w:r>
          </w:p>
        </w:tc>
        <w:tc>
          <w:tcPr>
            <w:tcW w:w="2180" w:type="dxa"/>
            <w:noWrap w:val="0"/>
            <w:vAlign w:val="center"/>
          </w:tcPr>
          <w:p w14:paraId="07F6CAA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授予博士、硕士、学士学位的基本要求</w:t>
            </w:r>
          </w:p>
        </w:tc>
        <w:tc>
          <w:tcPr>
            <w:tcW w:w="2682" w:type="dxa"/>
            <w:noWrap w:val="0"/>
            <w:vAlign w:val="center"/>
          </w:tcPr>
          <w:p w14:paraId="0722DAA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5663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4" w:type="dxa"/>
            <w:vMerge w:val="continue"/>
            <w:noWrap w:val="0"/>
            <w:vAlign w:val="center"/>
          </w:tcPr>
          <w:p w14:paraId="1A526902">
            <w:pPr>
              <w:spacing w:line="440" w:lineRule="exact"/>
              <w:jc w:val="center"/>
              <w:rPr>
                <w:rFonts w:ascii="仿宋" w:hAnsi="仿宋" w:eastAsia="仿宋"/>
                <w:b/>
                <w:bCs/>
                <w:sz w:val="24"/>
                <w:szCs w:val="24"/>
                <w:highlight w:val="none"/>
              </w:rPr>
            </w:pPr>
          </w:p>
        </w:tc>
        <w:tc>
          <w:tcPr>
            <w:tcW w:w="2244" w:type="dxa"/>
            <w:noWrap w:val="0"/>
            <w:vAlign w:val="center"/>
          </w:tcPr>
          <w:p w14:paraId="5B93466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44、拟授予硕士、博士学位同等学力人员资格审查和学力水平认定</w:t>
            </w:r>
          </w:p>
        </w:tc>
        <w:tc>
          <w:tcPr>
            <w:tcW w:w="993" w:type="dxa"/>
            <w:noWrap w:val="0"/>
            <w:vAlign w:val="center"/>
          </w:tcPr>
          <w:p w14:paraId="1C275E56">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（52）</w:t>
            </w:r>
          </w:p>
        </w:tc>
        <w:tc>
          <w:tcPr>
            <w:tcW w:w="2180" w:type="dxa"/>
            <w:noWrap w:val="0"/>
            <w:vAlign w:val="center"/>
          </w:tcPr>
          <w:p w14:paraId="42FC51B4">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拟授予硕士、博士学位同等学力人员资格审查和学力水平认定</w:t>
            </w:r>
          </w:p>
        </w:tc>
        <w:tc>
          <w:tcPr>
            <w:tcW w:w="2682" w:type="dxa"/>
            <w:noWrap w:val="0"/>
            <w:vAlign w:val="center"/>
          </w:tcPr>
          <w:p w14:paraId="1D49EDA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482D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04" w:type="dxa"/>
            <w:vMerge w:val="continue"/>
            <w:noWrap w:val="0"/>
            <w:vAlign w:val="center"/>
          </w:tcPr>
          <w:p w14:paraId="3BF2875B">
            <w:pPr>
              <w:spacing w:line="440" w:lineRule="exact"/>
              <w:jc w:val="center"/>
              <w:rPr>
                <w:rFonts w:ascii="仿宋" w:hAnsi="仿宋" w:eastAsia="仿宋"/>
                <w:b/>
                <w:bCs/>
                <w:sz w:val="24"/>
                <w:szCs w:val="24"/>
                <w:highlight w:val="none"/>
              </w:rPr>
            </w:pPr>
          </w:p>
        </w:tc>
        <w:tc>
          <w:tcPr>
            <w:tcW w:w="2244" w:type="dxa"/>
            <w:noWrap w:val="0"/>
            <w:vAlign w:val="center"/>
          </w:tcPr>
          <w:p w14:paraId="67D030C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45、新增硕士、博士学位授权学科或专业学位授权点审核办法</w:t>
            </w:r>
          </w:p>
        </w:tc>
        <w:tc>
          <w:tcPr>
            <w:tcW w:w="993" w:type="dxa"/>
            <w:noWrap w:val="0"/>
            <w:vAlign w:val="center"/>
          </w:tcPr>
          <w:p w14:paraId="2EA993B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（53）</w:t>
            </w:r>
          </w:p>
          <w:p w14:paraId="14F34B1E">
            <w:pPr>
              <w:spacing w:line="440" w:lineRule="exact"/>
              <w:jc w:val="center"/>
              <w:rPr>
                <w:rFonts w:ascii="仿宋" w:hAnsi="仿宋" w:eastAsia="仿宋"/>
                <w:sz w:val="24"/>
                <w:szCs w:val="24"/>
                <w:highlight w:val="none"/>
              </w:rPr>
            </w:pPr>
          </w:p>
        </w:tc>
        <w:tc>
          <w:tcPr>
            <w:tcW w:w="2180" w:type="dxa"/>
            <w:noWrap w:val="0"/>
            <w:vAlign w:val="center"/>
          </w:tcPr>
          <w:p w14:paraId="59EC357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新增硕士、博士学位授权学科或专业学位授权点审核办法</w:t>
            </w:r>
          </w:p>
        </w:tc>
        <w:tc>
          <w:tcPr>
            <w:tcW w:w="2682" w:type="dxa"/>
            <w:noWrap w:val="0"/>
            <w:vAlign w:val="center"/>
          </w:tcPr>
          <w:p w14:paraId="6DF8D83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4893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Merge w:val="continue"/>
            <w:noWrap w:val="0"/>
            <w:vAlign w:val="center"/>
          </w:tcPr>
          <w:p w14:paraId="6F2181D4">
            <w:pPr>
              <w:spacing w:line="440" w:lineRule="exact"/>
              <w:jc w:val="center"/>
              <w:rPr>
                <w:rFonts w:ascii="仿宋" w:hAnsi="仿宋" w:eastAsia="仿宋"/>
                <w:b/>
                <w:bCs/>
                <w:sz w:val="24"/>
                <w:szCs w:val="24"/>
                <w:highlight w:val="none"/>
              </w:rPr>
            </w:pPr>
          </w:p>
        </w:tc>
        <w:tc>
          <w:tcPr>
            <w:tcW w:w="2244" w:type="dxa"/>
            <w:vMerge w:val="restart"/>
            <w:noWrap w:val="0"/>
            <w:vAlign w:val="center"/>
          </w:tcPr>
          <w:p w14:paraId="350335D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46、拟新增学位授权学科或专业学位授权点的申报及论证材料</w:t>
            </w:r>
          </w:p>
        </w:tc>
        <w:tc>
          <w:tcPr>
            <w:tcW w:w="993" w:type="dxa"/>
            <w:noWrap w:val="0"/>
            <w:vAlign w:val="center"/>
          </w:tcPr>
          <w:p w14:paraId="2EAD5AA3">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（54）</w:t>
            </w:r>
          </w:p>
        </w:tc>
        <w:tc>
          <w:tcPr>
            <w:tcW w:w="2180" w:type="dxa"/>
            <w:noWrap w:val="0"/>
            <w:vAlign w:val="center"/>
          </w:tcPr>
          <w:p w14:paraId="4CBBBC75">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拟新增专业学位授权点的申报及论证材料</w:t>
            </w:r>
          </w:p>
        </w:tc>
        <w:tc>
          <w:tcPr>
            <w:tcW w:w="2682" w:type="dxa"/>
            <w:noWrap w:val="0"/>
            <w:vAlign w:val="center"/>
          </w:tcPr>
          <w:p w14:paraId="62019656">
            <w:pPr>
              <w:spacing w:line="440" w:lineRule="exact"/>
              <w:jc w:val="center"/>
              <w:rPr>
                <w:rFonts w:ascii="仿宋" w:hAnsi="仿宋" w:eastAsia="仿宋"/>
                <w:sz w:val="24"/>
                <w:szCs w:val="24"/>
                <w:highlight w:val="none"/>
              </w:rPr>
            </w:pPr>
            <w:r>
              <w:rPr>
                <w:rFonts w:hint="eastAsia" w:ascii="仿宋" w:hAnsi="仿宋" w:eastAsia="仿宋"/>
                <w:sz w:val="20"/>
                <w:szCs w:val="20"/>
                <w:highlight w:val="none"/>
              </w:rPr>
              <w:t>https://www.ayxy.edu.cn/</w:t>
            </w:r>
          </w:p>
        </w:tc>
      </w:tr>
      <w:tr w14:paraId="5AD2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4" w:type="dxa"/>
            <w:vMerge w:val="continue"/>
            <w:noWrap w:val="0"/>
            <w:vAlign w:val="center"/>
          </w:tcPr>
          <w:p w14:paraId="5E1F2E36">
            <w:pPr>
              <w:spacing w:line="440" w:lineRule="exact"/>
              <w:jc w:val="center"/>
              <w:rPr>
                <w:rFonts w:ascii="仿宋" w:hAnsi="仿宋" w:eastAsia="仿宋"/>
                <w:b/>
                <w:bCs/>
                <w:sz w:val="24"/>
                <w:szCs w:val="24"/>
                <w:highlight w:val="none"/>
              </w:rPr>
            </w:pPr>
          </w:p>
        </w:tc>
        <w:tc>
          <w:tcPr>
            <w:tcW w:w="2244" w:type="dxa"/>
            <w:vMerge w:val="continue"/>
            <w:noWrap w:val="0"/>
            <w:vAlign w:val="center"/>
          </w:tcPr>
          <w:p w14:paraId="1A0ADDBE">
            <w:pPr>
              <w:spacing w:line="440" w:lineRule="exact"/>
              <w:jc w:val="center"/>
              <w:rPr>
                <w:rFonts w:ascii="仿宋" w:hAnsi="仿宋" w:eastAsia="仿宋"/>
                <w:sz w:val="24"/>
                <w:szCs w:val="24"/>
                <w:highlight w:val="none"/>
              </w:rPr>
            </w:pPr>
          </w:p>
        </w:tc>
        <w:tc>
          <w:tcPr>
            <w:tcW w:w="993" w:type="dxa"/>
            <w:noWrap w:val="0"/>
            <w:vAlign w:val="center"/>
          </w:tcPr>
          <w:p w14:paraId="154B31E1">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（55）</w:t>
            </w:r>
          </w:p>
        </w:tc>
        <w:tc>
          <w:tcPr>
            <w:tcW w:w="2180" w:type="dxa"/>
            <w:noWrap w:val="0"/>
            <w:vAlign w:val="center"/>
          </w:tcPr>
          <w:p w14:paraId="761777B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拟新增学位授权学科的申报及论证材料</w:t>
            </w:r>
          </w:p>
        </w:tc>
        <w:tc>
          <w:tcPr>
            <w:tcW w:w="2682" w:type="dxa"/>
            <w:noWrap w:val="0"/>
            <w:vAlign w:val="center"/>
          </w:tcPr>
          <w:p w14:paraId="79D02996">
            <w:pPr>
              <w:spacing w:line="440" w:lineRule="exact"/>
              <w:jc w:val="center"/>
              <w:rPr>
                <w:rFonts w:ascii="仿宋" w:hAnsi="仿宋" w:eastAsia="仿宋"/>
                <w:sz w:val="24"/>
                <w:szCs w:val="24"/>
                <w:highlight w:val="none"/>
              </w:rPr>
            </w:pPr>
            <w:r>
              <w:rPr>
                <w:rFonts w:hint="eastAsia" w:ascii="仿宋" w:hAnsi="仿宋" w:eastAsia="仿宋"/>
                <w:sz w:val="20"/>
                <w:szCs w:val="20"/>
                <w:highlight w:val="none"/>
              </w:rPr>
              <w:t>https://www.ayxy.edu.cn/</w:t>
            </w:r>
          </w:p>
        </w:tc>
      </w:tr>
      <w:tr w14:paraId="2D43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4" w:type="dxa"/>
            <w:vMerge w:val="restart"/>
            <w:noWrap w:val="0"/>
            <w:vAlign w:val="center"/>
          </w:tcPr>
          <w:p w14:paraId="3A8E0ED1">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九、对外交流与合作信息</w:t>
            </w:r>
          </w:p>
        </w:tc>
        <w:tc>
          <w:tcPr>
            <w:tcW w:w="2244" w:type="dxa"/>
            <w:noWrap w:val="0"/>
            <w:vAlign w:val="center"/>
          </w:tcPr>
          <w:p w14:paraId="3842598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47、中外合作办学情况</w:t>
            </w:r>
          </w:p>
        </w:tc>
        <w:tc>
          <w:tcPr>
            <w:tcW w:w="993" w:type="dxa"/>
            <w:noWrap w:val="0"/>
            <w:vAlign w:val="center"/>
          </w:tcPr>
          <w:p w14:paraId="7714C4A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（56）</w:t>
            </w:r>
          </w:p>
        </w:tc>
        <w:tc>
          <w:tcPr>
            <w:tcW w:w="2180" w:type="dxa"/>
            <w:noWrap w:val="0"/>
            <w:vAlign w:val="center"/>
          </w:tcPr>
          <w:p w14:paraId="2A9E863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中外合作办学情况</w:t>
            </w:r>
          </w:p>
        </w:tc>
        <w:tc>
          <w:tcPr>
            <w:tcW w:w="2682" w:type="dxa"/>
            <w:noWrap w:val="0"/>
            <w:vAlign w:val="center"/>
          </w:tcPr>
          <w:p w14:paraId="6E7AB8FE">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0239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4" w:type="dxa"/>
            <w:vMerge w:val="continue"/>
            <w:noWrap w:val="0"/>
            <w:vAlign w:val="center"/>
          </w:tcPr>
          <w:p w14:paraId="27CE4456">
            <w:pPr>
              <w:spacing w:line="440" w:lineRule="exact"/>
              <w:jc w:val="center"/>
              <w:rPr>
                <w:rFonts w:ascii="仿宋" w:hAnsi="仿宋" w:eastAsia="仿宋"/>
                <w:b/>
                <w:bCs/>
                <w:sz w:val="24"/>
                <w:szCs w:val="24"/>
                <w:highlight w:val="none"/>
              </w:rPr>
            </w:pPr>
          </w:p>
        </w:tc>
        <w:tc>
          <w:tcPr>
            <w:tcW w:w="2244" w:type="dxa"/>
            <w:noWrap w:val="0"/>
            <w:vAlign w:val="center"/>
          </w:tcPr>
          <w:p w14:paraId="29AA19CC">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48、来华留学生管理相关规定</w:t>
            </w:r>
          </w:p>
        </w:tc>
        <w:tc>
          <w:tcPr>
            <w:tcW w:w="993" w:type="dxa"/>
            <w:noWrap w:val="0"/>
            <w:vAlign w:val="center"/>
          </w:tcPr>
          <w:p w14:paraId="6808D977">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（57）</w:t>
            </w:r>
          </w:p>
        </w:tc>
        <w:tc>
          <w:tcPr>
            <w:tcW w:w="2180" w:type="dxa"/>
            <w:noWrap w:val="0"/>
            <w:vAlign w:val="center"/>
          </w:tcPr>
          <w:p w14:paraId="6B312D8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来华留学生管理相关规定</w:t>
            </w:r>
          </w:p>
        </w:tc>
        <w:tc>
          <w:tcPr>
            <w:tcW w:w="2682" w:type="dxa"/>
            <w:noWrap w:val="0"/>
            <w:vAlign w:val="center"/>
          </w:tcPr>
          <w:p w14:paraId="32EAD76B">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本校暂未涉及</w:t>
            </w:r>
          </w:p>
        </w:tc>
      </w:tr>
      <w:tr w14:paraId="55B5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04" w:type="dxa"/>
            <w:vMerge w:val="restart"/>
            <w:noWrap w:val="0"/>
            <w:vAlign w:val="center"/>
          </w:tcPr>
          <w:p w14:paraId="4A741CEF">
            <w:pPr>
              <w:spacing w:line="440" w:lineRule="exact"/>
              <w:jc w:val="center"/>
              <w:rPr>
                <w:rFonts w:ascii="仿宋" w:hAnsi="仿宋" w:eastAsia="仿宋"/>
                <w:b/>
                <w:bCs/>
                <w:sz w:val="24"/>
                <w:szCs w:val="24"/>
                <w:highlight w:val="none"/>
              </w:rPr>
            </w:pPr>
          </w:p>
          <w:p w14:paraId="544020DD">
            <w:pPr>
              <w:spacing w:line="4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十、其他</w:t>
            </w:r>
          </w:p>
        </w:tc>
        <w:tc>
          <w:tcPr>
            <w:tcW w:w="2244" w:type="dxa"/>
            <w:noWrap w:val="0"/>
            <w:vAlign w:val="center"/>
          </w:tcPr>
          <w:p w14:paraId="78BCCE1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49、巡视组反馈意见，落实反馈意见整改情况</w:t>
            </w:r>
          </w:p>
        </w:tc>
        <w:tc>
          <w:tcPr>
            <w:tcW w:w="993" w:type="dxa"/>
            <w:noWrap w:val="0"/>
            <w:vAlign w:val="center"/>
          </w:tcPr>
          <w:p w14:paraId="0137531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（58）</w:t>
            </w:r>
          </w:p>
        </w:tc>
        <w:tc>
          <w:tcPr>
            <w:tcW w:w="2180" w:type="dxa"/>
            <w:noWrap w:val="0"/>
            <w:vAlign w:val="center"/>
          </w:tcPr>
          <w:p w14:paraId="1853E8E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巡视组反馈意见，落实反馈意见整改情况</w:t>
            </w:r>
          </w:p>
        </w:tc>
        <w:tc>
          <w:tcPr>
            <w:tcW w:w="2682" w:type="dxa"/>
            <w:noWrap w:val="0"/>
            <w:vAlign w:val="center"/>
          </w:tcPr>
          <w:p w14:paraId="587F5468">
            <w:pPr>
              <w:spacing w:line="440" w:lineRule="exact"/>
              <w:jc w:val="center"/>
              <w:rPr>
                <w:rFonts w:ascii="仿宋" w:hAnsi="仿宋" w:eastAsia="仿宋"/>
                <w:sz w:val="24"/>
                <w:szCs w:val="24"/>
                <w:highlight w:val="none"/>
              </w:rPr>
            </w:pPr>
            <w:r>
              <w:rPr>
                <w:rFonts w:hint="eastAsia" w:ascii="仿宋" w:hAnsi="仿宋" w:eastAsia="仿宋"/>
                <w:sz w:val="20"/>
                <w:szCs w:val="20"/>
                <w:highlight w:val="none"/>
              </w:rPr>
              <w:t>https://www.ayxy.edu.cn/</w:t>
            </w:r>
          </w:p>
        </w:tc>
      </w:tr>
      <w:tr w14:paraId="431C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Merge w:val="continue"/>
            <w:noWrap w:val="0"/>
            <w:vAlign w:val="center"/>
          </w:tcPr>
          <w:p w14:paraId="2EB0B384">
            <w:pPr>
              <w:spacing w:line="440" w:lineRule="exact"/>
              <w:jc w:val="center"/>
              <w:rPr>
                <w:rFonts w:ascii="仿宋" w:hAnsi="仿宋" w:eastAsia="仿宋"/>
                <w:b/>
                <w:bCs/>
                <w:sz w:val="24"/>
                <w:szCs w:val="24"/>
                <w:highlight w:val="none"/>
              </w:rPr>
            </w:pPr>
          </w:p>
        </w:tc>
        <w:tc>
          <w:tcPr>
            <w:tcW w:w="2244" w:type="dxa"/>
            <w:noWrap w:val="0"/>
            <w:vAlign w:val="center"/>
          </w:tcPr>
          <w:p w14:paraId="4AA17F08">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50、自然灾害等突发事件的应急处理预案、预警信息和处置情况，涉及学校的重大事件的调查和处理情况</w:t>
            </w:r>
          </w:p>
        </w:tc>
        <w:tc>
          <w:tcPr>
            <w:tcW w:w="993" w:type="dxa"/>
            <w:noWrap w:val="0"/>
            <w:vAlign w:val="center"/>
          </w:tcPr>
          <w:p w14:paraId="6DC4638A">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（59）</w:t>
            </w:r>
          </w:p>
        </w:tc>
        <w:tc>
          <w:tcPr>
            <w:tcW w:w="2180" w:type="dxa"/>
            <w:noWrap w:val="0"/>
            <w:vAlign w:val="center"/>
          </w:tcPr>
          <w:p w14:paraId="56AA48EF">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自然灾害等突发事件的应急处理预案、预警信息和处置情况，涉及学校的重大事件的调查和处理情况</w:t>
            </w:r>
          </w:p>
        </w:tc>
        <w:tc>
          <w:tcPr>
            <w:tcW w:w="2682" w:type="dxa"/>
            <w:noWrap w:val="0"/>
            <w:vAlign w:val="center"/>
          </w:tcPr>
          <w:p w14:paraId="60D9CA02">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https://www.ayxy.edu.cn/hqc/</w:t>
            </w:r>
          </w:p>
        </w:tc>
      </w:tr>
    </w:tbl>
    <w:p w14:paraId="17A96686">
      <w:pPr>
        <w:spacing w:after="0" w:line="560" w:lineRule="exact"/>
        <w:ind w:firstLine="640" w:firstLineChars="200"/>
        <w:jc w:val="both"/>
        <w:rPr>
          <w:rFonts w:ascii="仿宋" w:hAnsi="仿宋" w:eastAsia="仿宋"/>
          <w:sz w:val="32"/>
          <w:szCs w:val="32"/>
          <w:highlight w:val="none"/>
        </w:rPr>
      </w:pPr>
    </w:p>
    <w:p w14:paraId="12034137">
      <w:pPr>
        <w:pStyle w:val="2"/>
        <w:rPr>
          <w:rFonts w:hint="eastAsia"/>
          <w:highlight w:val="none"/>
        </w:rPr>
      </w:pPr>
    </w:p>
    <w:p w14:paraId="6C4816BC">
      <w:pPr>
        <w:pStyle w:val="2"/>
        <w:rPr>
          <w:rFonts w:hint="eastAsia"/>
          <w:highlight w:val="none"/>
        </w:rPr>
      </w:pPr>
    </w:p>
    <w:p w14:paraId="7C0EDEF5">
      <w:pPr>
        <w:rPr>
          <w:highlight w:val="none"/>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AF8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550B7D">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550B7D">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BFB15"/>
    <w:multiLevelType w:val="singleLevel"/>
    <w:tmpl w:val="5F7BFB1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GZjZjdlNmYzYzQ0MTg0MjIxOWQxNjM0M2E4ZTkifQ=="/>
  </w:docVars>
  <w:rsids>
    <w:rsidRoot w:val="59CA338B"/>
    <w:rsid w:val="01E44FDB"/>
    <w:rsid w:val="01E74ACC"/>
    <w:rsid w:val="02A86D1D"/>
    <w:rsid w:val="0385459C"/>
    <w:rsid w:val="059705B7"/>
    <w:rsid w:val="07852DBD"/>
    <w:rsid w:val="08114650"/>
    <w:rsid w:val="081E4FBF"/>
    <w:rsid w:val="09622C8A"/>
    <w:rsid w:val="09A43053"/>
    <w:rsid w:val="0A5B7E05"/>
    <w:rsid w:val="0AF10769"/>
    <w:rsid w:val="0BF422BF"/>
    <w:rsid w:val="0C5A4518"/>
    <w:rsid w:val="0C7927C4"/>
    <w:rsid w:val="0D414AFC"/>
    <w:rsid w:val="0E7C3BFA"/>
    <w:rsid w:val="100B5E29"/>
    <w:rsid w:val="10AA5642"/>
    <w:rsid w:val="123F7A01"/>
    <w:rsid w:val="12A06CFD"/>
    <w:rsid w:val="1332191F"/>
    <w:rsid w:val="15415E49"/>
    <w:rsid w:val="194D685E"/>
    <w:rsid w:val="19A24C1B"/>
    <w:rsid w:val="1C5D0BEE"/>
    <w:rsid w:val="1D732054"/>
    <w:rsid w:val="1E4569AA"/>
    <w:rsid w:val="1EC57AEB"/>
    <w:rsid w:val="1FFC12EA"/>
    <w:rsid w:val="20942FB6"/>
    <w:rsid w:val="21555156"/>
    <w:rsid w:val="21BF6A73"/>
    <w:rsid w:val="252F3F10"/>
    <w:rsid w:val="268B33C8"/>
    <w:rsid w:val="26B4291F"/>
    <w:rsid w:val="26C863CA"/>
    <w:rsid w:val="281D62A2"/>
    <w:rsid w:val="29C94933"/>
    <w:rsid w:val="2A0B4F4C"/>
    <w:rsid w:val="2A952A67"/>
    <w:rsid w:val="2B920D55"/>
    <w:rsid w:val="2BBB02AC"/>
    <w:rsid w:val="2C2E3173"/>
    <w:rsid w:val="2CF021D7"/>
    <w:rsid w:val="2E8254F7"/>
    <w:rsid w:val="301420D8"/>
    <w:rsid w:val="31BA057A"/>
    <w:rsid w:val="31F20151"/>
    <w:rsid w:val="31FB58A6"/>
    <w:rsid w:val="320C7AB3"/>
    <w:rsid w:val="327B2543"/>
    <w:rsid w:val="337068B0"/>
    <w:rsid w:val="33BE4DDD"/>
    <w:rsid w:val="37DF041B"/>
    <w:rsid w:val="38482EC7"/>
    <w:rsid w:val="388E10CD"/>
    <w:rsid w:val="38C369F1"/>
    <w:rsid w:val="397C3770"/>
    <w:rsid w:val="3A3556CD"/>
    <w:rsid w:val="3D211F38"/>
    <w:rsid w:val="3DA45043"/>
    <w:rsid w:val="3DBD4546"/>
    <w:rsid w:val="3E3D2DA2"/>
    <w:rsid w:val="3F1C50AD"/>
    <w:rsid w:val="3F6251B6"/>
    <w:rsid w:val="401F7FA5"/>
    <w:rsid w:val="40E045E4"/>
    <w:rsid w:val="40F956A6"/>
    <w:rsid w:val="414A7CB0"/>
    <w:rsid w:val="41716244"/>
    <w:rsid w:val="426E79CE"/>
    <w:rsid w:val="42AB6E74"/>
    <w:rsid w:val="433504EC"/>
    <w:rsid w:val="4348021F"/>
    <w:rsid w:val="43CA50D8"/>
    <w:rsid w:val="45350C77"/>
    <w:rsid w:val="45432300"/>
    <w:rsid w:val="475A49C5"/>
    <w:rsid w:val="482F7BFF"/>
    <w:rsid w:val="48675232"/>
    <w:rsid w:val="49212800"/>
    <w:rsid w:val="4A764932"/>
    <w:rsid w:val="4B1355B6"/>
    <w:rsid w:val="4B425E9C"/>
    <w:rsid w:val="4BB36DD6"/>
    <w:rsid w:val="4C237A7B"/>
    <w:rsid w:val="4C8D0C09"/>
    <w:rsid w:val="4D523942"/>
    <w:rsid w:val="4D8E7BE9"/>
    <w:rsid w:val="4DEB69B8"/>
    <w:rsid w:val="4E65437B"/>
    <w:rsid w:val="4EC07803"/>
    <w:rsid w:val="507408A5"/>
    <w:rsid w:val="50C11611"/>
    <w:rsid w:val="520E2D96"/>
    <w:rsid w:val="537868FE"/>
    <w:rsid w:val="53823973"/>
    <w:rsid w:val="540D0FC2"/>
    <w:rsid w:val="54B4169A"/>
    <w:rsid w:val="54BC0A6D"/>
    <w:rsid w:val="57D33649"/>
    <w:rsid w:val="58D81BED"/>
    <w:rsid w:val="59CA338B"/>
    <w:rsid w:val="5BA34735"/>
    <w:rsid w:val="5C7B2FBB"/>
    <w:rsid w:val="5EB34C8F"/>
    <w:rsid w:val="5EC55617"/>
    <w:rsid w:val="60C82547"/>
    <w:rsid w:val="616439F1"/>
    <w:rsid w:val="619F08FE"/>
    <w:rsid w:val="61A22D98"/>
    <w:rsid w:val="623065F6"/>
    <w:rsid w:val="64C51278"/>
    <w:rsid w:val="64E831B8"/>
    <w:rsid w:val="6530528B"/>
    <w:rsid w:val="65B37C6A"/>
    <w:rsid w:val="65F31E15"/>
    <w:rsid w:val="683E0BF5"/>
    <w:rsid w:val="685017A0"/>
    <w:rsid w:val="688E336B"/>
    <w:rsid w:val="691E1EE8"/>
    <w:rsid w:val="69446E7F"/>
    <w:rsid w:val="69B30239"/>
    <w:rsid w:val="69DD569B"/>
    <w:rsid w:val="6B105217"/>
    <w:rsid w:val="6BA73DCD"/>
    <w:rsid w:val="6BAA7419"/>
    <w:rsid w:val="6C2E004A"/>
    <w:rsid w:val="6D035033"/>
    <w:rsid w:val="6EFD7F13"/>
    <w:rsid w:val="70F3716D"/>
    <w:rsid w:val="715A71EC"/>
    <w:rsid w:val="717C1858"/>
    <w:rsid w:val="719E357C"/>
    <w:rsid w:val="723E2669"/>
    <w:rsid w:val="72DE728C"/>
    <w:rsid w:val="738812F5"/>
    <w:rsid w:val="73FC5ABC"/>
    <w:rsid w:val="75071439"/>
    <w:rsid w:val="75A629FF"/>
    <w:rsid w:val="769B7885"/>
    <w:rsid w:val="77002692"/>
    <w:rsid w:val="772D3A09"/>
    <w:rsid w:val="78E35D19"/>
    <w:rsid w:val="793B7903"/>
    <w:rsid w:val="79BB0A5D"/>
    <w:rsid w:val="79D0629D"/>
    <w:rsid w:val="7B74118D"/>
    <w:rsid w:val="7DF84014"/>
    <w:rsid w:val="7E1846B6"/>
    <w:rsid w:val="7FAF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qFormat/>
    <w:uiPriority w:val="1"/>
    <w:pPr>
      <w:spacing w:before="102"/>
      <w:ind w:left="112"/>
    </w:pPr>
    <w:rPr>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337AB7"/>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7150</Words>
  <Characters>9387</Characters>
  <Lines>0</Lines>
  <Paragraphs>0</Paragraphs>
  <TotalTime>1</TotalTime>
  <ScaleCrop>false</ScaleCrop>
  <LinksUpToDate>false</LinksUpToDate>
  <CharactersWithSpaces>9390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2021-10-25T01:33:00Z</dcterms:created>
  <dc:creator>暖晴</dc:creator>
  <cp:lastModifiedBy>安阳学院学校办公室</cp:lastModifiedBy>
  <cp:lastPrinted>2024-11-08T08:25:00Z</cp:lastPrinted>
  <dcterms:modified xsi:type="dcterms:W3CDTF">2024-11-08T08:55:58Z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5C9877C2B5764FF1B119FB98D176FC59</vt:lpwstr>
  </property>
</Properties>
</file>